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LE120076 vom 15. Februar 2013</w:t>
      </w:r>
    </w:p>
    <w:p>
      <w:r>
        <w:t>ZH Obergericht, 2013-02-15, DE</w:t>
      </w:r>
    </w:p>
    <w:p>
      <w:r>
        <w:rPr>
          <w:b/>
        </w:rPr>
        <w:t xml:space="preserve">Quelle: </w:t>
      </w:r>
      <w:r>
        <w:t>https://mcp.opencaselaw.ch/entscheid/zh_obergericht_LE120076</w:t>
      </w:r>
    </w:p>
    <w:p>
      <w:r>
        <w:t>FR: ZH_OBERGERICHT LE120076 du 15 février 2013</w:t>
      </w:r>
    </w:p>
    <w:p>
      <w:r>
        <w:t>IT: ZH_OBERGERICHT LE120076 del 15 febbraio 2013</w:t>
      </w:r>
    </w:p>
    <w:p>
      <w:pPr>
        <w:pStyle w:val="Heading2"/>
      </w:pPr>
      <w:r>
        <w:t>Erwägungen</w:t>
      </w:r>
    </w:p>
    <w:p>
      <w:r>
        <w:rPr>
          <w:b/>
        </w:rPr>
        <w:t>E. 1</w:t>
      </w:r>
    </w:p>
    <w:p>
      <w:r>
        <w:t>Die Parteien standen vor Vorinstanz seit Juni 2012 in einem Ehe- schutzverfahren (Urk. 1). Anlässlich der vorinstanzlichen Instruktionsverhandlung vom 24. September 2012 schlossen die Parteien eine Teilvereinbarung betreffend das Getrenntleben sowie die Zuteilung der ehelichen Wohnung (Urk. 19). Am 24. September 2012 fällte die Vorinstanz sodann das eingangs wiedergegebene Urteil (Urk. 29).</w:t>
      </w:r>
    </w:p>
    <w:p>
      <w:r>
        <w:rPr>
          <w:b/>
        </w:rPr>
        <w:t>E. 1.1</w:t>
      </w:r>
    </w:p>
    <w:p>
      <w:r>
        <w:t>Gegenstand des vorliegenden Verfahrens sind die Unterhaltsbeiträge an die Gesuchstellerin persönlich und den gemeinsamen Sohn der Parteien sowie die erstinstanzlichen Kosten- und Entschädigungsfolgen, während die übrigen</w:t>
      </w:r>
    </w:p>
    <w:p>
      <w:r>
        <w:t>- 6 - Regelungen zum Getrenntleben der Parteien (Zuteilung eheliche Liegenschaft, el- terliche Obhut und Besuchsrecht, Herausgabe Ausweispapiere) unangefochten blieben. Die Dispositiv-Ziffern 1-5 sowie 7 des angefochtenen Urteils sind mit Ein- gang der Berufungsantwort am 27. Dezember 2012 (Urk. 36) rechtskräftig gewor- den (Art. 315 Abs. 1 ZPO), was vorzumerken ist.</w:t>
      </w:r>
    </w:p>
    <w:p>
      <w:r>
        <w:rPr>
          <w:b/>
        </w:rPr>
        <w:t>E. 1.2</w:t>
      </w:r>
    </w:p>
    <w:p>
      <w:r>
        <w:t>Gemäss Art. 272 ZPO gilt in eherechtlichen Summarverfahren der Un- tersuchungsgrundsatz. Dies bedeutet, dass das Gericht den Sachverhalt von Am- tes wegen feststellt und grundsätzlich nicht an die Parteivorbringen gebunden ist (DIKE-Komm-ZPO, Art. 272 N 109). Betreffend die Bindung an die Parteianträge gilt für die Belange der Ehegatten untereinander indes die Dispositionsmaxime (DIKE-Komm-ZPO, Art. 272 N 105, Art. 58 Abs. 1 ZPO). Dies bedeutet, dass das Gericht – auch im Rechtsmittelverfahren – an die Parteianträge gebunden ist. Das Gericht kann mithin weder mehr zusprechen, als eine Partei verlangt, noch weni- ger, als eine Partei anerkannt hat. Art. 296 Abs. 3 ZPO erklärt demgegenüber in Kinderbelangen den Offizialgrundsatz für anwendbar, weshalb das Gericht in die- sem Bereich ohne Bindung an die Parteianträge entscheidet. Gestützt auf Art. 296 Abs. 1 ZPO erforscht das Gericht hinsichtlich der Kinderbelange den Sachverhalt von Amtes wegen, die Untersuchungsmaxime ist in diesem Bereich somit nicht eingeschränkt. Es sind daher in allen Instanzen sowohl echte als auch unechte Noven zulässig (Schweighauser in: Sutter-Somm/Hasenböhler/ Leuen- berger, ZPO Komm., Art. 296 N 22).</w:t>
      </w:r>
    </w:p>
    <w:p>
      <w:r>
        <w:rPr>
          <w:b/>
        </w:rPr>
        <w:t>E. 1.3</w:t>
      </w:r>
    </w:p>
    <w:p>
      <w:r>
        <w:t>Auf die Parteivorbringen ist im Folgenden insoweit einzugehen, als dies für die Entscheidfindung erforderlich ist.</w:t>
      </w:r>
    </w:p>
    <w:p>
      <w:r>
        <w:rPr>
          <w:b/>
        </w:rPr>
        <w:t>E. 2</w:t>
      </w:r>
    </w:p>
    <w:p>
      <w:r>
        <w:t>Unterhaltsbeiträge</w:t>
      </w:r>
    </w:p>
    <w:p>
      <w:r>
        <w:rPr>
          <w:b/>
        </w:rPr>
        <w:t>E. 2.1</w:t>
      </w:r>
    </w:p>
    <w:p>
      <w:r>
        <w:t>Die Vorinstanz hat den Gesuchsgegner verpflichtet, der Gesuchstelle- rin rückwirkend ab 8. September 2012 einen monatlichen Unterhaltsbeitrag von Fr. 2'244.– zuzüglich allfällige gesetzliche oder vertragliche Kinderzulagen zu be- zahlen, wobei ein Betrag von Fr. 1'394.– auf die Gesuchstellerin und Fr. 850.– auf den gemeinsamen Sohn entfalle. Der Unterhaltsberechnung legte die Vorinstanz ein Einkommen des Gesuchsgegners von Fr. 5'804.– und ein solches der Ge-</w:t>
      </w:r>
    </w:p>
    <w:p>
      <w:r>
        <w:t>- 7 - suchstellerin von Fr. 2'316.– zu Grunde und ging von einem Bedarf der Parteien von Fr. 3'553.– (Gesuchsgegner) bzw. Fr. 4'545.– (Gesuchstellerin mit dem ge- meinsamen Sohn) aus. Den resultierenden Freibetrag von Fr. 22.– teilte die Vo- rinstanz im Verhältnis 2:1 auf die Gesuchstellerin mit dem gemeinsamen Sohn und den Gesuchsgegner auf. Unbestritten blieb der Beginn der Zahlungspflicht rückwirkend ab dem 8. September 2012. Hiervon ist im Folgenden auszugehen.</w:t>
      </w:r>
    </w:p>
    <w:p>
      <w:r>
        <w:rPr>
          <w:b/>
        </w:rPr>
        <w:t>E. 2.2</w:t>
      </w:r>
    </w:p>
    <w:p>
      <w:r>
        <w:t>Der Gesuchsgegner wehrt sich im Rahmen der Berufung gegen ein- zelne Positionen der Bedarfsrechnung. So rügt er die bei der Gesuchstellerin im Bedarf angerechneten Betreuungskosten von Fr. 500.–. Die Gesuchstellerin habe selbst ausführlich dargelegt, dass ihr keine Betreuungskosten für den gemeinsa- men Sohn entstehen würden, da ihre Eltern die Betreuung ohne Entgelt über- nehmen würden (nachstehend Erw. 2.3.a). Weiter moniert er die Tatsache, dass in seinem Bedarf die Schuldentilgungs- raten im Betrag von monatlich Fr. 1'041.60 nicht berücksichtigt worden seien. Entgegen den vorinstanzlichen Ausführungen habe er an der Verhandlung vom 10. September 2012 ausgeführt, dass es sich um eheliche Schulden handle und das Geld unter anderem für die gemeinsame Wohnung verwendet worden sei. Überdies gelte im Eheschutzverfahren der Untersuchungsgrundsatz, weshalb die Vorinstanz den Sachverhalt von Amtes wegen hätte feststellen müssen (nachste- hend Erw. 2.3.b).</w:t>
      </w:r>
    </w:p>
    <w:p>
      <w:r>
        <w:rPr>
          <w:b/>
        </w:rPr>
        <w:t>E. 2.3</w:t>
      </w:r>
    </w:p>
    <w:p>
      <w:r>
        <w:t>a) Betreuungskosten Mit Bezug auf die der Gesuchstellerin angerechneten Betreuungskosten gilt es festzuhalten, dass sie im Rahmen der Verhandlung vom 10. September 2012 tatsächlich angegeben hatte, sie könne die Betreuung des gemeinsamen Sohnes mit ihrer Familie regeln. Nach dem Aufenthalt der Mutter (welcher aufgrund der fehlenden Aufenthaltsbewilligung in der Schweiz maximal 90 Tage dauert) könne der Vater in die Schweiz einreisen, um sie bei der Kinderbetreuung zu unterstüt- zen. Da ihr die Mutter für die Kinderbetreuung nichts verrechne, entstünden ihr keine Betreuungskosten. Demgegenüber würden ihr aber Umtriebskosten von rund Fr. 500.– entstehen (VI-Prot. S. 6).</w:t>
      </w:r>
    </w:p>
    <w:p>
      <w:r>
        <w:t>- 8 - Dies erscheint nachvollziehbar, reisen doch die Eltern der Gesuchstellerin aus E._____ [Staat in Südosteuropa] an, um ihre Tochter bei der Kinderbetreuung zu unterstützen. Alleine die Reisekosten sowie die Lebenshaltungskosten der El- tern, welche das Budget der Gesuchstellerin zusätzlich belasten werden, lassen einen Betrag von Fr. 500.– als angemessen erscheinen. Für den Fall, dass die Betreuung des Kindes in der Zukunft nicht von den Eltern der Gesuchstellerin übernommen werden könnte, wäre die Gesuchstellerin sodann aufgrund ihrer Er- werbstätigkeit während sechs Stunden pro Tag auf eine externe Kinderbetreuung angewiesen. Die Kosten für eine solche externe Kinderbetreuung sind mit Fr. 500.– pro Monat sodann eher tief angesetzt. Überdies gilt es zu berücksichti- gen, dass die Gesuchstellerin als Mutter eines knapp zweijährigen Kleinkindes nicht verpflichtet wäre, einer Erwerbstätigkeit nachzugehen. Die Tatsache, dass sie dies dennoch tut und damit rund Fr. 2'300.– pro Monat zum Familienbudget beiträgt, sollte honoriert und der Verbleib im Erwerbslebens nicht zusätzlich er- schwert werden, indem eine adäquate Lösung zur Kinderbetreuung verunmöglicht wird. Vor dem Hintergrund dieser Erwägungen sind die von der Vorinstanz be- rücksichtigten Fr. 500.– im Bedarf der Gesuchstellerin zu belassen. b) Schuldentilgungsrate Zinsen und Ratenzahlungen für Abzahlungsgeschäfte und Konsumkredite sind zum Bedarf des Unterhaltspflichtigen hinzuzurechnen, sofern sie vor Aufhe- bung des gemeinsamen Haushaltes einverständlich eingegangen wurden und auch tatsächlich und nachweisbar bezahlt werden. Die Berücksichtigung von Kre- ditraten im Bedarf einer Partei kommt von Vornherein nur dann und soweit in Fra- ge, als dadurch keine Unterdeckung der Existenzminima entsteht. Der Gesuchsgegner macht im Rahmen der Berufung mit Verweis auf seine Ausführungen an der Verhandlung vom 10. September 2012 (vgl. VI-Prot. S. 4 ff.) geltend, er habe den Kredit zur Finanzierung von Wohnungsmobiliar während der Ehe mit der Gesuchstellerin aufgenommen, weshalb es sich um eheliche Schul- den handle, welche im Bedarf zu berücksichtigen seien. Diesbezüglich ist der Ge-</w:t>
      </w:r>
    </w:p>
    <w:p>
      <w:r>
        <w:t>- 9 - suchstellerin beizupflichten, dass der Gesuchsgegner zu Protokoll gegeben hat, für die Wohnungseinrichtung lediglich Fr. 15'000.– aufgenommen zu haben, wäh- rend sich der Gesamtbetrag des Darlehens auf Fr. 65'000.– belaufe (vgl. VI-Prot. S. 8). Eine Berücksichtigung der vollen Rate von Fr. 1'041.– kommt angesichts der Tatsache, dass der Gesuchsgegner damit selber angibt, nur rund einen Vier- tel des Gesamtbetrages des Darlehens für Wohnungseinrichtung aufgewendet zu haben, von Vornherein nicht in Frage. Sodann erhellt mit Blick auf die vorinstanz- liche Bedarfsrechnung, welche einen äussert geringen Überschuss von Fr. 22.– aufweist, dass eine Berücksichtigung der Schuldentilgungsraten zu einer Unter- deckung im Bedarf der Parteien führen würde. Vor diesem Hintergrund können die Schuldentilgungsraten nicht (auch nicht teilweise) im Bedarf des Gesuchstel- lers berücksichtigt werden.</w:t>
      </w:r>
    </w:p>
    <w:p>
      <w:r>
        <w:rPr>
          <w:b/>
        </w:rPr>
        <w:t>E. 2.4</w:t>
      </w:r>
    </w:p>
    <w:p>
      <w:r>
        <w:t>Zusammenfassend erweist sich die Berufung mit Bezug auf die Unter- haltsverpflichtung des Gesuchstellers als unbegründet. Eine Abänderung des von der Vorinstanz festgesetzten Unterhaltsbeitrages ist nicht angezeigt. Dies gilt auch hinsichtlich der Aufteilung des Unterhaltsbeitrag auf die Gesuchstellerin und den gemeinsamen Sohn.</w:t>
      </w:r>
    </w:p>
    <w:p>
      <w:r>
        <w:rPr>
          <w:b/>
        </w:rPr>
        <w:t>E. 3</w:t>
      </w:r>
    </w:p>
    <w:p>
      <w:r>
        <w:t>Die Parteien beantragen beide für das Berufungsverfahren die Gewäh- rung der unentgeltlichen Rechtspflege. Da dem Gesuchsgegner nach Bezahlung der Unterhaltsbeiträge praktisch keinerlei finanzielle Mittel verbleiben und der Be- darf der Gesuchstellerin mit dem gemeinsamen Sohn mit den zu zahlenden Un- terhaltsbeiträgen gerade so gedeckt wird, das Verfahren für beide Seiten nicht aussichtslos erscheint und beide Parteien zur Bewältigung des Prozesses auf die Unterstützung eines Rechtsvertreters angewiesen sind, ist die unentgeltliche Rechtspflege im Sinne von Art. 117 ZPO zu gewähren. Die den Parteien auferleg- ten Gerichtskosten sind demnach unter Hinweis auf das Nachforderungsrecht des Staats gemäss Art. 123 ZPO einstweilen auf die Gerichtskasse zu nehmen. Die Gewährung der unentgeltlichen Rechtspflege entbindet nicht von der Bezahlung der Parteientschädigung. Sollte sich herausstellen, dass der Entschädigungsan- spruch uneinbringlich ist, ist die der Gesuchstellerin zuzusprechende Parteient- schädigung von Fr. 750.– aus der Gerichtskasse zu bezahlen (Art. 122 Abs. 2 ZPO). Es wird beschlossen:</w:t>
      </w:r>
    </w:p>
    <w:p>
      <w:r>
        <w:rPr>
          <w:b/>
        </w:rPr>
        <w:t>E. 3.1</w:t>
      </w:r>
    </w:p>
    <w:p>
      <w:r>
        <w:t>Der Gesuchsgegner rügt berufungsweise die erstinstanzliche Regelung der Kosten- und Entschädigungsfolgen. Gemäss der langjährigen Praxis der ent- scheidenden Kammer seien die Gerichtskosten in Bezug auf Kinderbelange bei- den Parteien unabhängig vom Prozessausgang je zur Hälfte aufzuerlegen. Vor diesem Hintergrund sei der Gesuchsgegner - wenn überhaupt - nur mit seinem Antrag bezüglich dem nachehelichen Unterhalt unterlegen, wobei ein so geringes Unterliegen nicht ins Gewicht falle. Die Gerichtskosten seien den Parteien daher je zur Hälfte aufzuerlegen. Die Parteientschädigungen seien vor diesem Hinter- grund wettzuschlagen. Überdies sei im vorinstanzlichen Verfahren eine rechtliche Vertretung ohnehin nicht notwendig gewesen, da der Gesuchsgegner selber auch keine Rechtsvertretung an seiner Seite hatte und das Gericht aufgrund des gel- tenden Untersuchungs- und Offizialgrundsatzes den Sachverhalt von Amtes we- gen abzuklären hatte. Es handle sich bei den Rechtsvertretungskosten daher um</w:t>
      </w:r>
    </w:p>
    <w:p>
      <w:r>
        <w:t>- 10 - unnötige Prozesskosten, welche nach Art. 108 ZPO von derjenigen Partei zu be- zahlen seien, welche sie verursacht habe. Weiter sei die von der Vorinstanz fest- gesetzte Parteientschädigung mit Fr. 3'800.– zu hoch angesetzt.</w:t>
      </w:r>
    </w:p>
    <w:p>
      <w:r>
        <w:rPr>
          <w:b/>
        </w:rPr>
        <w:t>E. 3.2</w:t>
      </w:r>
    </w:p>
    <w:p>
      <w:r>
        <w:t>a) Wie mit Verfügung vom 20. November 2012 bereits ausgeführt, werden die Gerichtskosten in Bezug auf Kinderbelange nach ständiger Praxis der urteilenden Kammer beiden Parteien unabhängig vom Prozessausgang je zur Hälfte auferlegt, wenn diese gute Gründe für ihre Rechtsposition hatten. Vorlie- gend bestehen keine Anhaltspunkte, um von dieser gefestigten Praxis abzuwei- chen. Insbesondere ändert die Tatsache, dass die Anträge des Gesuchsgegners mit Bezug auf die Kinderbelange wenig erfolgsversprechend waren (so die Ge- suchstellerin in Urk. 36 S. 6) nichts an den erläuterten Grundsätzen. Die im erst- instanzlichen Verfahren zu beurteilenden Kinderbelange sind (gerade mit Blick auf die zwei durchgeführten Augenscheine) mit rund 1/2 bei den Kosten zu berück- sichtigten. b) Vor Vorinstanz waren neben den Kinderbelangen (elterliche Obhut und Besuchsrecht), die Unterhaltspflicht des Gesuchsgegners sowie die Herausgabe von Ausweispapieren strittig. Diesbezüglich unterlag der Gesuchsgegner mit sei- nen Anträgen vollumfänglich. Die durch die Parteien im Rahmen der Teilvereinba- rung geregelte Zuteilung der ehelichen Wohnung fällt bei den Kosten nicht ins Gewicht. c) Gesamthaft betrachtet unterlag der Gesuchsgegner damit im Umfang von 3/4, weshalb es sich rechtfertigt, die erstinstanzliche Regelung der Kosten- und Entschädigungsfolgen dahingehend anzupassen, dass dem Gesuchsgegner 3/4 der Gerichtskosten aufzuerlegen sind, während die Gesuchstellerin 1/4 der Kosten zu übernehmen hat. Entsprechend dieser Kostenverteilung ist der Ge- suchsgegner sodann zu verpflichten, der Gesuchstellerin eine auf 1/2 reduzierte Parteientschädigung zu bezahlen. Dass es sich bei den Rechtsvertretungskosten um unnötige Prozesskosten im Sinne von Art. 108 ZPO handelt, welche die Ge- suchstellerin selber zu tragen hätte, trifft nicht zu. Die Gesuchstellerin als juristi- sche Laie, welcher der deutschen Sprache nicht mächtig ist, war zur Bestreitung</w:t>
      </w:r>
    </w:p>
    <w:p>
      <w:r>
        <w:t>- 11 - des Verfahrens auf eine rechtskundige Vertretung angewiesen. Die Geltung des Untersuchungs- und Offizialgrundsatzes vermag daran nichts zu ändern. d) Was die Höhe der erstinstanzlichen Parteientschädigung anbelangt, gilt es festzuhalten, dass das Gericht die Parteientschädigung nach den Tarifen zu- spricht (Art. 96 ZPO), wobei die Einreichung einer Kostennote fakultativ ist (Art. 105 Abs. 2 ZPO). Zum Urteilszeitpunkt am 24. September 2012 lag keine Honorarnote von Rechtsanwältin lic. iur. Y1._____ vor, weshalb die Vorinstanz die Parteientschädigung unter Berücksichtigung der Verordnung über die Anwaltsge- bühren vom 8. September 2010 (AnwGebV) festsetzte. Die in Anwendung von § 1 Abs. 2 i.V.m. § 5 Abs. 1 und 6 Abs. 3 AnwGebV festgesetzte volle Parteientschä- digung von Fr. 3'800.– zzgl. 8% MwSt. erscheint mit Blick auf den Umfang des Verfahrens mit zwei Verhandlungen und die Schwierigkeit des Falles angemes- sen. Es besteht kein Anlass, das vorinstanzliche Urteil mit Bezug auf die Höhe der Parteientschädigung zu korrigieren. III. 1. Abschliessend ist über die Kosten- und Entschädigungsfolgen im Beru- fungsverfahren zu befinden. 2. Der Gesuchsgegner unterliegt mit seiner Berufung im Hinblick auf die Unterhaltsfrage, obsiegt hingegen teilweise mit Bezug auf die Regelung der erst- instanzlichen Kosten- und Entschädigungsfolgen. Vor diesem Hintergrund recht- fertigt es sich, dem Gesuchsgegner 3/4 der zweitinstanzlichen Verfahrenskosten aufzuerlegen. Die Gerichtsgebühr ist in Anwendung von § 2 lit. a, c und d sowie § 12 Abs. 1 in Verbindung mit Abs. 2 und § 5 Abs. 1 und § 6 Abs. 2 lit. b der Ge- bührenverordnung des Obergerichts (GebV OG) auf Fr. 3'000.– festzusetzen. Die volle Parteientschädigung ist in Anwendung von § 5 Abs. 1, § 6 Abs. 3, § 11 und § 13 der AnwGebV auf Fr. 1'500.– festzusetzen und der Gesuchsgegner in Anbe- tracht des Verfahrensausgangs zu verpflichten, der Gesuchstellerin eine auf die Hälfte reduzierte Parteientschädigung von Fr. 750.– zu bezahlen.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