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LE120060 vom 3. Oktober 2012</w:t>
      </w:r>
    </w:p>
    <w:p>
      <w:r>
        <w:t>ZH Obergericht, 2012-10-03, DE</w:t>
      </w:r>
    </w:p>
    <w:p>
      <w:r>
        <w:rPr>
          <w:b/>
        </w:rPr>
        <w:t xml:space="preserve">Quelle: </w:t>
      </w:r>
      <w:r>
        <w:t>https://mcp.opencaselaw.ch/entscheid/zh_obergericht_LE120060</w:t>
      </w:r>
    </w:p>
    <w:p>
      <w:r>
        <w:t>FR: ZH_OBERGERICHT LE120060 du 3 octobre 2012</w:t>
      </w:r>
    </w:p>
    <w:p>
      <w:r>
        <w:t>IT: ZH_OBERGERICHT LE120060 del 3 ottobre 2012</w:t>
      </w:r>
    </w:p>
    <w:p>
      <w:pPr>
        <w:pStyle w:val="Heading2"/>
      </w:pPr>
      <w:r>
        <w:t>Erwägungen</w:t>
      </w:r>
    </w:p>
    <w:p>
      <w:r>
        <w:rPr>
          <w:b/>
        </w:rPr>
        <w:t>E. 1</w:t>
      </w:r>
    </w:p>
    <w:p>
      <w:r>
        <w:t>a) Die Parteien standen seit dem 17. Januar 2012 vor Vorinstanz in einem Eheschutzprozess (Urk. 1). Mit Urteil vom 15. August 2012 bewilligte und regelte die Vorinstanz das Getrenntleben der Parteien (Urk. 41 = Urk. 45). b) Hiergegen hat die Klägerin am 6. September 2012 fristgerecht Beru- fung mit den eingangs genannten Berufungsanträgen erhoben (Urk. 44). c) Da sich die Berufung sogleich als offensichtlich unbegründet und teil- weise unzulässig erweist, kann auf die Einholung einer Berufungsantwort der Ge- genpartei verzichtet werden (Art. 312 Abs. 1 ZPO).</w:t>
      </w:r>
    </w:p>
    <w:p>
      <w:r>
        <w:t>- 5 -</w:t>
      </w:r>
    </w:p>
    <w:p>
      <w:r>
        <w:rPr>
          <w:b/>
        </w:rPr>
        <w:t>E. 2</w:t>
      </w:r>
    </w:p>
    <w:p>
      <w:r>
        <w:t>Zur summarischen Verfahrensnatur des Eheschutzverfahrens und den sich daraus ergebenden Konsequenzen kann auf die zutreffenden vorinstanzli- chen Erwägungen (Urk. 45 S. 6 f.) verwiesen werden, ebenso zu den Grundsät- zen der Unterhaltspflicht (Urk. 45 S. 14 f.). Im Berufungsverfahren umstritten sind der Mietwert der ehelichen Wohnung (dazu sogleich), die Unterhaltsbeiträge für den Sohn (dazu nachfolgend Erw. 4), die Unterhaltsbeiträge für die Klägerin (unten Erw. 6) und die vorinstanzlichen Kosten- und Entschädigungsfolgen (unten Erw. 7).</w:t>
      </w:r>
    </w:p>
    <w:p>
      <w:r>
        <w:rPr>
          <w:b/>
        </w:rPr>
        <w:t>E. 3</w:t>
      </w:r>
    </w:p>
    <w:p>
      <w:r>
        <w:t>Mietwert eheliche Wohnung a) Die Vorinstanz hat die (sich im Eigentum des Beklagten befindliche) eheliche Wohnung der Klägerin während des Getrenntlebens zur Benützung zu- gewiesen (Disp.-Ziff. 6). Die Klägerin verlangt im Berufungsverfahren neu, es sei bei der Wohnungszuteilung der Mietwert von Fr. 2'600.-- der ihr zur Benützung überlassenen ehelichen Wohnung festzuhalten, damit dieser zu den Unterhalts- beiträgen dazugeschlagen werden könne, sobald sie die Wohnung verlassen müsse (Urk. 44 S. 3). b) Vor Vorinstanz hatte die Klägerin keinen solchen Antrag gestellt (vgl. Urk. 1, Urk. 11, Urk. 13, auch Urk. 30). Im Berufungsverfahren sind neue Anträge nur noch eingeschränkt zulässig (Art. 317 Abs. 2 ZPO); die im Bereich des Ehe- schutzverfahrens für das erstinstanzliche Verfahren geltende Untersuchungsma- xime (Art. 272 ZPO) ändert hieran nichts. Dass die entsprechenden Vorausset- zungen erfüllt wären, legt die Klägerin nicht dar. Auf die Berufung ist daher in die- sem Punkt nicht einzutreten. c) Ohnehin wäre die Festlegung eines bestimmten Mietwerts keine vom Gesetz vorgesehene Eheschutzmassnahme (vgl. Art. 176 ZGB), weshalb die Vo- rinstanz auch bei einem entsprechenden Antrag gar nicht zu einer solchen An- ordnung befugt gewesen wäre. Schliesslich ist die Klägerin auch darauf hinzuwei- sen, dass ein allfälliger Mietwert der ehelichen Wohnung keineswegs demjenigen Betrag entsprechen muss, der im Rahmen eines Eheschutzverfahrens oder bei</w:t>
      </w:r>
    </w:p>
    <w:p>
      <w:r>
        <w:t>- 6 - einer späteren Scheidung als angemessene Wohnkosten in ihrem Bedarf zu be- rücksichtigen wäre.</w:t>
      </w:r>
    </w:p>
    <w:p>
      <w:r>
        <w:rPr>
          <w:b/>
        </w:rPr>
        <w:t>E. 4</w:t>
      </w:r>
    </w:p>
    <w:p>
      <w:r>
        <w:t>Unterhaltsbeiträge für den Sohn a) Die Vorinstanz hatte den Beklagten verpflichtet, der Klägerin für den Sohn Unterhaltsbeiträge von Fr. 1'500.-- pro Monat zuzüglich allfälliger Kinderzu- lagen zu bezahlen (Disp.-Ziff. 10). b) Die Klägerin macht mit ihrer Berufung geltend, die Vorinstanz habe nur die üblichen Fr. 1'500.-- als Unterhaltsbeitrag für den Sohn festgesetzt. Der Sohn leide jedoch unter einem infantilen POS, was zusätzliche Kosten für Tanzschule, Musikschule, diverse Nachhilfen, Ferien und öffentlichen Verkehr von insgesamt Fr. 709.-- ergebe, weshalb der Unterhaltsbeitrag für den Sohn auf Fr. 2'209.-- zu erhöhen sei (Urk. 44 S. 3-5). Die Ausführungen der Klägerin gehen im Wesentlichen an der Sache vorbei. Die Vorinstanz hat unter Anwendung der zweistufigen Methode (Bedarfsberech- nung und Freibetragsaufteilung) einen Gesamt-Unterhaltsbeitrag – für die Kläge- rin und den Sohn zusammen – von Fr. 5'899.-- (bis März 2013) bzw. Fr. 4'959.-- (ab April 2013) ermittelt und davon den Anteil des Sohnes auf Fr. 1'500.-- festge- setzt (Urk. 45 S. 29). Wenn nun der Anteil des Sohnes höher zu bemessen wäre, würde dies konsequenterweise zu einem tieferen Unterhaltsbeitrag für die Kläge- rin persönlich führen. Davon abgesehen ist keineswegs als glaubhaft anzusehen, dass allfällig in der Vergangenheit angefallene Kosten im Zusammenhang mit der Krankheit des Sohnes auch in Zukunft anfallen werden, denn POS kann sich be- kanntlich "auswachsen" (und tut dies auch häufig) und genau hierauf deutet der letzte Untersuchungsbericht vom 21. November 2011 hin, der festhält, die Diag- nose einer Aufmerksamkeitsstörung werde nicht gestellt (Urk. 12/4; von der Klä- gerin nur unvollständig eingereicht), was schon die Vorinstanz korrekt dargelegt hat (vgl. Urk. 45 S. 11). Es bleibt damit beim vorinstanzlich festgesetzten Anteil des Unterhaltsbeitrages für den Sohn.</w:t>
      </w:r>
    </w:p>
    <w:p>
      <w:r>
        <w:t>- 7 - c) Die Klägerin macht mit ihrer Berufung weiter geltend, die Vorinstanz habe die Unterhaltsbeiträge für den Sohn zuzüglich allfälliger Kinderzulagen zu- gesprochen. Der 68-jährige, immer selbständig erwerbend gewesene Beklagte erhalte jedoch keine Kinderzulagen, bekomme allerdings von der AHV einen Be- trag von Fr. 300.-- für den Sohn, der zusätzlich zuzusprechen sei (Urk. 44 S. 5). Zulagen für Kinder – werden diese von den Familienausgleichskassen oder von anderen Sozialversicherungen ausgerichtet – sind Zahlungen an die Eltern für die Kosten des Unterhalts der Kinder. Aufgrund dieser Zweckbindung (Ver- wendung für den Unterhalt des Kindes) sind diese Sozialleistungen von der un- terhaltsverpflichteten Partei vollumfänglich an die obhutinnehabende Partei wei- terzuleiten und können daher von der unterhaltspflichtigen Partei nicht zur Bezah- lung von Unterhaltsbeiträgen herangezogen werden; entsprechend haben sie bei der Bestimmung von deren finanzieller Leistungsfähigkeit grundsätzlich ausser Acht zu bleiben, d.h. sind nicht bei deren Einkommen einzurechnen. Diesfalls sind sie dann aber vorweg beim Bedarf des Kindes zu berücksichtigen, da derselbe (teilweise) durch diese vom Einkommen ausgeschiedenen Sozialleistungen ab- gedeckt wird (Hausheer/Spycher, Handbuch des Unterhaltsrechts, 2.A 2010, Rz. 06.142; Breitschmid, BS-Kommentar, 4.A. 2010, N 24 und 28 zu Art. 285 ZGB; Wullschleger, FamKommentar Scheidung, 2005, N 21 und 72 zu Art. 285 ZGB; Hegnauer, BE-Kommentar, 1997, N 38-41 und 47 zu Art. 285 ZGB; Hinderling/ Steck, Das schweizer. Ehescheidungsrecht, 4.A. 1995, S. 471; je mit Hinweisen; die Begründung von ZR 97/1998 Nr. 10, Kinderzulagen seien wegen der grund- sätzlich hälftigen Freibetragsaufteilung zusätzlich zu den Unterhaltsbeiträgen ge- schuldet, ist seit BGE 126 III 8 überholt). Wird anders vorgegangen, d.h. werden die Kosten der Kinder vollumfänglich (ohne Reduktion für den durch die weiterzu- leitenden Zulagen abgedeckten Teil) beim Bedarf berücksichtigt, sind konsequen- terweise die für genau diese Kosten bestimmten Sozialleistungen auch beim Ein- kommen zu berücksichtigen (und dann aber diese Zulagen nicht zusätzlich zu den Unterhaltsbeiträgen zu bezahlen). Vorliegend bleibt im Dunkeln, wie die Klägerin auf den Betrag von Fr. 300.-- kommt, den der Beklagte von der AHV für den Sohn erhalten soll. Aus den vor-</w:t>
      </w:r>
    </w:p>
    <w:p>
      <w:r>
        <w:t>- 8 - instanzlichen Akten ergibt sich, dass der Beklagte für den Sohn im Jahr 2011 eine ordentliche Kinderrente von Fr. 6'615.-- für 9 Monate, d.h. Fr. 735.-- pro Monat bezogen hat (Urk. 25/15/3). Diese wurde beim von der Vorinstanz für den Beklag- ten veranschlagten AHV-Renteneinkommen von Fr. 2'515.-- eingerechnet (vgl. Urk. 45 S. 19; vgl. Urk. 25/15/3: seine eigene AHV-Rente beträgt Fr. 16'533.-- für</w:t>
      </w:r>
    </w:p>
    <w:p>
      <w:r>
        <w:rPr>
          <w:b/>
        </w:rPr>
        <w:t>E. 9</w:t>
      </w:r>
    </w:p>
    <w:p>
      <w:r>
        <w:t>a) Die Gerichtskosten des Berufungsverfahrens sind ausgangsge- mäss der Klägerin aufzuerlegen (Art. 106 Abs. 1 ZPO). Diese hat für das Beru- fungsverfahren weder ein Gesuch um Prozesskostenbeitrag (die Begründung in Urk. 44 S. 8 ist durch die Berufungsanträge nicht gedeckt) noch ein Armenrechts- gesuch gestellt (Urk. 44 pass.). Solche Gesuche wären ohnehin zufolge Aus- sichtslosigkeit der Berufung (vgl. vorstehende Erwägungen) abzuweisen gewesen (Art. 117 lit. b ZPO).</w:t>
      </w:r>
    </w:p>
    <w:p>
      <w:r>
        <w:t>- 13 - b) Dem Beklagten ist durch das vorliegende Berufungsverfahren kein ent- schädigungspflichtiger Aufwand entstanden (sein Rechtsvertreter wird den vorlie- genden Entscheid zu studieren und dem Beklagten zu kommunizieren haben). Daher ist ihm zulasten der Klägerin für das Berufungsverfahren keine Parteient- 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