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LE120052 vom 21. September 2012</w:t>
      </w:r>
    </w:p>
    <w:p>
      <w:r>
        <w:t>ZH Obergericht, 2012-09-21, DE</w:t>
      </w:r>
    </w:p>
    <w:p>
      <w:r>
        <w:rPr>
          <w:b/>
        </w:rPr>
        <w:t xml:space="preserve">Quelle: </w:t>
      </w:r>
      <w:r>
        <w:t>https://mcp.opencaselaw.ch/entscheid/zh_obergericht_LE120052</w:t>
      </w:r>
    </w:p>
    <w:p>
      <w:r>
        <w:t>FR: ZH_OBERGERICHT LE120052 du 21 septembre 2012</w:t>
      </w:r>
    </w:p>
    <w:p>
      <w:r>
        <w:t>IT: ZH_OBERGERICHT LE120052 del 21 settembre 2012</w:t>
      </w:r>
    </w:p>
    <w:p>
      <w:pPr>
        <w:pStyle w:val="Heading2"/>
      </w:pPr>
      <w:r>
        <w:t>Erwägungen</w:t>
      </w:r>
    </w:p>
    <w:p>
      <w:r>
        <w:rPr>
          <w:b/>
        </w:rPr>
        <w:t>E. 1</w:t>
      </w:r>
    </w:p>
    <w:p>
      <w:r>
        <w:t>Am 17. September 2011 reichte der Kläger bei der Vorinstanz ein Ehe- schutzbegehren ein (Vi-Urk. 1). Beide Parteien beanspruchten die Obhut über die beiden Kinder der Parteien, C._____ (geb. tt.mm.1999) und D._____ (geb. tt.mm.2005). Anlässlich der vorinstanzlichen Hauptverhandlung vom 7. November 2011 schlossen die Parteien im Rahmen vorsorglicher Massnahmen eine Verein-</w:t>
      </w:r>
    </w:p>
    <w:p>
      <w:r>
        <w:t>- 5 - barung, wonach beide Kinder bis zum erstinstanzlichen Entscheid unter die Obhut der Beklagten zu stellen seien; ebenso einigten sich die Parteien über das Be- suchsrecht des Klägers bis Ende 2011, die Errichtung einer Erziehungsbeistand- schaft sowie Akonto-Unterhaltsleistungen des Klägers (Vi-Urk. 25 und 29). Mit Verfügung vom 12. Dezember 2011 entschied die Vorinstanz in diesem Sinne (Vi- Urk. 33). Mit Eingabe vom 15. Mai 2012 beantragte die Prozessbeiständin der Kinder, die Tochter unter die Obhut der Beklagten und den Sohn unter die Obhut des Klägers zu stellen, unter entsprechender Ausgestaltung des Besuchsrechts; D._____ sei sodann bereits als vorsorgliche Massnahme, in Abänderung der Ver- fügung vom 12. Dezember 2011, unter die Obhut des Klägers zu stellen und das Besuchsrecht der Beklagten entsprechend zu regeln (Vi-Urk. 56). Dem Antrag auf Abänderung der vorsorglichen Massnahmen schlossen sich der Erziehungsbei- stand der Kinder und der Kläger an (Vi-Urk. 61 und 63). Mit Eingabe vom 27. Juni 2012 beantragte der Erziehungsbeistand der Kinder sodann die superprovisori- sche Umteilung der Obhut über den Sohn auf den Kläger (Vi-Urk. 73). Am 20. Juli 2012 erliess die Vorinstanz das eingangs wiedergegebene Urteil (Vi-Urk. 94 = Urk. 2).</w:t>
      </w:r>
    </w:p>
    <w:p>
      <w:r>
        <w:rPr>
          <w:b/>
        </w:rPr>
        <w:t>E. 2</w:t>
      </w:r>
    </w:p>
    <w:p>
      <w:r>
        <w:t>Hiergegen hat der Kläger am 6. August 2012 fristgerecht Berufung er- hoben, welche unter der vorliegenden Prozess-Nummer angelegt wurde (Urk. 1); die Berufungsanträge sind eingangs wiedergegeben. Ebenso hat die Prozessbeiständin der Kinder für die Prozessbeteiligten ge- gen das angefochtene Urteil am 7. August 2012 fristgerecht Berufung mit den eingangs wiedergegebenen Berufungsanträgen erhoben (Urk. 21/1); deren Beru- fung wurde unter der Prozess-Nummer LE120053 angelegt.</w:t>
      </w:r>
    </w:p>
    <w:p>
      <w:r>
        <w:rPr>
          <w:b/>
        </w:rPr>
        <w:t>E. 3</w:t>
      </w:r>
    </w:p>
    <w:p>
      <w:r>
        <w:t>Auf die Einforderung von Kostenvorschüssen wurde in beiden Beru- fungsverfahren zum Zweck der Verfahrensbeschleunigung verzichtet.</w:t>
      </w:r>
    </w:p>
    <w:p>
      <w:r>
        <w:rPr>
          <w:b/>
        </w:rPr>
        <w:t>E. 4</w:t>
      </w:r>
    </w:p>
    <w:p>
      <w:r>
        <w:t>Im vorliegenden Berufungsverfahren hat die Beklagte am 17. August 2012 fristgerecht die Berufungsantwort erstattet (Urk. 5), ebenso fristgerecht die Prozessbeiständin der Kinder am 22. August 2012 (Urk. 7).</w:t>
      </w:r>
    </w:p>
    <w:p>
      <w:r>
        <w:t>- 6 - Im Berufungsverfahren LE120053 hat der Kläger am 10. August 2012 frist- gerecht die Berufungsantwort erstattet (Urk. 21/5), ebenso fristgerecht die Beklag- te am 17. August 2012 (Urk. 21/6). Die Berufungsantworten wurden je den Gegenparteien zugestellt (Urk. 11).</w:t>
      </w:r>
    </w:p>
    <w:p>
      <w:r>
        <w:rPr>
          <w:b/>
        </w:rPr>
        <w:t>E. 5</w:t>
      </w:r>
    </w:p>
    <w:p>
      <w:r>
        <w:t>a) Als Folge der Umteilung der Obhut über D._____ zum Kläger ist das Besuchsrecht der Beklagten für D._____ zu regeln (und dasjenige des Klä- gers für D._____ aufzuheben). Der Kläger und die Prozessbeiständin von D._____ haben hierzu ausformulierte Anträge gestellt (Urk. 1 S. 2 f., Urk. 21/1 S. 3). Die Beklagte hat sich im Berufungsverfahren zum Besuchsrecht nicht – auch nicht eventualiter – geäussert (Urk. 5; Urk. 21/6, beso S. 9). b) Die inhaltlich identischen Anträge des Klägers und der Prozessbeistän- din von D._____ zum Besuchsrecht der Beklagten lehnen sich an die vorinstanzli- che Regelung des Besuchsrechts des Klägers (Urk. 2 S. 29) an, sind gegenüber diesem allerdings im Umfang etwas eingeschränkter (Wochenend-Besuchsrecht erst von Samstagabend an), was mit dem Umstand, dass die Beklagte häufig am Samstag arbeitet, begründet wird (Urk. 21/1 S. 9 i.V.m. Vi-Urk. 56 S. 21) und un- widersprochen geblieben ist. Die von der Vorinstanz angeordneten Modalitäten der Ausübung des Besuchsrechts (Bringpflicht der Beklagten beim Wochenend- Besuchsrecht etc.; Verbot der Übernachtung bei den Grosseltern) wurden in den Anträgen nicht übernommen; auch dies ist unwidersprochen geblieben. c) Das beantragte und unwidersprochene Besuchsrecht (für beide Partei- en) erscheint ohne weiteres als im Kindeswohl liegend und ist entsprechend an- zuordnen.</w:t>
      </w:r>
    </w:p>
    <w:p>
      <w:r>
        <w:rPr>
          <w:b/>
        </w:rPr>
        <w:t>E. 6</w:t>
      </w:r>
    </w:p>
    <w:p>
      <w:r>
        <w:t>a) Die Prozessbeiständin von D._____ beantragt die Anweisung der Vorinstanz, vor dem Endentscheid des Eheschutzverfahrens ein Erziehungsfähig- keitsgutachten über beide Parteien einzuholen (Urk. 21/1 S. 3 und S. 9). b) Mit Berufung anfechtbar ist einzig das Dispositiv des angefochtenen Entscheids, nicht dagegen allfällige Erwägungen. Im Dispositiv des angefochte- nen vorinstanzlichen Urteils ist keine Abweisung eines entsprechenden Antrags</w:t>
      </w:r>
    </w:p>
    <w:p>
      <w:r>
        <w:t>- 16 - der Prozessbeiständin von D._____ enthalten, weshalb auf die Berufung in die- sem Punkt nicht einzutreten ist. c) Im Übrigen wäre der Antrag auch unbegründet. Ausser in pathologi- schen Fällen, wo es dem Gericht an Sachkenntnis mangelt, ist im Eheschutzver- fahren von der Einholung von Gutachten wenn immer möglich abzusehen. Hierzu kann auf die zutreffenden Erwägungen der Vorinstanz (Urk. 2 S. 23-25) verwiesen werden.</w:t>
      </w:r>
    </w:p>
    <w:p>
      <w:r>
        <w:rPr>
          <w:b/>
        </w:rPr>
        <w:t>E. 7</w:t>
      </w:r>
    </w:p>
    <w:p>
      <w:r>
        <w:t>Die Anpassung der Unterhaltspflicht des Klägers für die beiden Kinder (vgl. Vi-Urk. 33 Dispositiv-Ziffer 5) ist nicht verlangt worden. IV. 1. Die Beklagte hat für das Berufungsverfahren ein Gesuch um unentgelt- liche Rechtspflege und Rechtsverbeiständung gestellt und dabei auf ihre Eingabe an die Vorinstanz vom 31. Oktober 2011 verwiesen; ihre finanziellen Verhältnisse hätten sich seither nicht verändert (Urk. 5 S. 7, Urk. 21/6 S. 10). Mit ihrer Eingabe vom 31. Oktober 2011 (Vi-Urk. 13) hat die Beklagte ver- schiedene Unterlagen eingereicht, dagegen nicht ihr Armenrechtsgesuch begrün- det bzw. ihre finanziellen Verhältnisse dargelegt (vgl. Art. 119 Abs. 2 ZPO). So- wohl in jener Eingabe wie auch im Plädoyer der Verhandlung vom 7. November 2011 war sodann das Armenrechtsgesuch nur eventualiter, wenn nicht der Kläger zur Leistung eines Prozesskostenvorschusses verpflichtet werde, gestellt worden (Vi-Urk. 13 S. 1, Vi-Urk. 23 S. 4). Die Pflicht des Staates zur Gewährung der unentgeltlichen Rechtspflege geht der Beistandspflicht aus Familienrecht nach (BGE 85 I 1 ff.; ZR 83/1984 Nr. 21 und ZR 90/1991 Nr. 82); die Gewährung des prozessualen Armenrechts kommt daher nur in Frage, wenn der ansprechenden Partei kein Prozesskosten- vorschuss zugesprochen bzw. die Gegenpartei nicht gestützt auf die eheliche Beistandspflicht zur Übernahme der Prozesskosten verpflichtet werden kann. Zu prüfen ist damit, ob der Gesuchsteller tatsächlich zur Leistung eines solchen Vor-</w:t>
      </w:r>
    </w:p>
    <w:p>
      <w:r>
        <w:t>- 17 - schusses in der Lage wäre. Aus den Akten ergibt sich ein monatliches Einkom- men des Klägers von Fr. 6'791.15 netto inkl. Kinderzulagen (Vi-Urk. 12/1), wovon er die mit Verfügung der Vorinstanz vom 12. Dezember 2011 angeordneten Un- terhaltsbeiträge von Fr. 2'000.-- an die Beklagte leisten muss (Vi-Urk. 33 S. 7). Über Vermögen verfügen die Parteien nicht (Vi-Urk. 12/4 = gemeinsame Steuer- erklärung 2010). Daher kann nicht als erhärtet gelten, dass der Kläger zur Leis- tung eines Prozesskostenvorschusses in der Lage wäre. Die Beklagte verfügt nebst eigenen Einkünften von rund Fr. 1'000.-- pro Mo- nat (Vi-Urk. 17/4, für 30 % Pensum) über die erwähnten Unterhaltsbeiträge von Fr. 2'000.-- und ist damit als im armenrechtlichen Sinne mittellos anzusehen. Ihre Rechtsposition im Berufungsverfahren kann auch nicht als aussichtslos angese- hen werden und sie ist auf anwaltlichen Beistand angewiesen. Daher ist ihr die unentgeltliche Rechtspflege und Rechtsverbeiständung zu gewähren (Art. 117 ZPO). Die Beklagte ist auf die Nachzahlungspflicht hinzuweisen (Art. 123 ZPO). 2. Die Gerichtskosten des Berufungsverfahrens sind grundsätzlich der un- terliegenden Partei aufzuerlegen (Art. 106 Abs. 1 ZPO). Gemäss ständiger, unter dem alten Prozessrecht entwickelter (ZR 84/1985 Nr. 41) und unter dem neuen Prozessrecht (vgl. Art. 107 Abs. 1 lit. b und c ZPO) weitergeführter Praxis der Kammer sind die Kosten des Verfahrens mit Bezug auf Kinderbelange den Par- teien unabhängig vom Ausgang je zur Hälfte aufzuerlegen und die Prozessent- schädigungen wettzuschlagen, wenn die Parteien unter dem Gesichtspunkt des Kindesinteresses gute Gründe zur Antragstellung hatten. Solche sind auch der unterliegenden Beklagten nicht abzusprechen. Demgemäss sind die Kosten des Berufungsverfahrens – inklusive die Kosten der Kindesvertretung (Art. 95 Abs. 2 lit. e ZPO) – beiden Parteien je zur Hälfte aufzuerlegen. 3. Dementsprechend sind für das Berufungsverfahren keine Parteient- schädigungen zuzusprechen.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