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LE120034 vom 6. September 2012</w:t>
      </w:r>
    </w:p>
    <w:p>
      <w:r>
        <w:t>ZH Obergericht, 2012-09-06, DE</w:t>
      </w:r>
    </w:p>
    <w:p>
      <w:r>
        <w:rPr>
          <w:b/>
        </w:rPr>
        <w:t xml:space="preserve">Quelle: </w:t>
      </w:r>
      <w:r>
        <w:t>https://mcp.opencaselaw.ch/entscheid/zh_obergericht_LE120034</w:t>
      </w:r>
    </w:p>
    <w:p>
      <w:r>
        <w:t>FR: ZH_OBERGERICHT LE120034 du 6 septembre 2012</w:t>
      </w:r>
    </w:p>
    <w:p>
      <w:r>
        <w:t>IT: ZH_OBERGERICHT LE120034 del 6 settembre 2012</w:t>
      </w:r>
    </w:p>
    <w:p>
      <w:pPr>
        <w:pStyle w:val="Heading2"/>
      </w:pPr>
      <w:r>
        <w:t>Erwägungen</w:t>
      </w:r>
    </w:p>
    <w:p>
      <w:r>
        <w:rPr>
          <w:b/>
        </w:rPr>
        <w:t>E. 4</w:t>
      </w:r>
    </w:p>
    <w:p>
      <w:r>
        <w:t>April 2012 (Urk. 32), welches vorstehend im Dispositiv wiedergegeben ist, fand das vorinstanzliche Verfahren seinen Abschluss. 1.2. Hiergegen hat der Beklagte und Berufungskläger (fortan Beklagter) am 13. Juni 2012 (Datum des Poststempels: 14. Juni 2012) fristgerecht (vgl. Urk. 23) Berufung erhoben. 1.3. Da sich die Berufung sogleich als unbegründet bzw. unzulässig erweist, kann auf die Einholung einer Berufungsantwort der Gegenpartei verzichtet wer- den (Art. 312 Abs. 1 ZPO). 2.1. Mit der Berufung können unrichtige Rechtsanwendung und unrichtige Fest- stellung des Sachverhalts geltend gemacht werden (Art. 310 ZPO). Vorab aber hat die Berufung konkrete Anträge zu enthalten – worauf schon in der vor- instanzlichen Rechtsmittelbelehrung (Disp.-Ziff. 12) hingewiesen wurde –, aus denen eindeutig hervorgeht, in welchem Umfang das vorinstanzliche Urteil ange- fochten wird; diese Anträge haben sich auf das Dispositiv (den eigentlichen Ent- scheid) des angefochtenen Urteils zu beziehen (vgl. Art. 315 Abs. 1 ZPO) und präzise anzugeben, wie genau die Berufungsinstanz entscheiden soll (Sutter- Somm/Hasenböhler/Leuenberger [Hrsg.], Kommentar ZPO, N 34 zu Art. 311 ZPO). 2.2. Diesen formellen Anforderungen vermag die Berufungsschrift des Beklagten nicht zu genügen. Sie enthält keine konkreten Anträge, inwiefern das Dispositiv des angefochtenen Entscheides abzuändern sei. In solchen Fällen - Fehlen von Anträgen - kann nicht eine Nachfrist zur Verbesserung angesetzt werden, son- dern ist sogleich auf die Berufung nicht einzutreten (Sutter-Somm/Ha-</w:t>
      </w:r>
    </w:p>
    <w:p>
      <w:r>
        <w:t>- 5 - senböhler/Leuenberger, a.a.O., N 34 f. zu Art. 311). Allenfalls kann aus der be- klagtischen Berufungsschrift herausgelesen werden, dass der Beklagte die durch die Vorinstanz vorgenommene Zuteilung der Obhut über die gemeinsamen Kinder an die Klägerin (Dispositiv Ziffer 2) monieren und damit die Aufhebung dieser Dispositiv-Ziffer beantragen möchte. Die Berufung erhebende Partei darf sich aber nicht damit begnügen, die Aufhebung des angefochtenen Entscheids zu ver- langen, sondern muss konkrete Begehren in der Sache stellen, d.h. hat anzuge- ben, was an Stelle des aufzuhebenden Entscheids treten soll (Sutter- Somm/Hasenböhler/Leuenberger, a.a.O., N 34 zu Art. 311 ZPO). 3.1. Die Gerichtskosten des Berufungsverfahrens sind ausgangsgemäss dem unterliegenden Beklagten aufzuerlegen (Art. 106 Abs. 1 ZPO). 3.2. Der Klägerin ist mangels relevanter Umtriebe im Berufungsverfahren keine Parteientschädigung zuzusprechen (vgl.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