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LE110071 vom 18. Juli 2012</w:t>
      </w:r>
    </w:p>
    <w:p>
      <w:r>
        <w:t>ZH Obergericht, 2012-07-18, DE</w:t>
      </w:r>
    </w:p>
    <w:p>
      <w:r>
        <w:rPr>
          <w:b/>
        </w:rPr>
        <w:t xml:space="preserve">Quelle: </w:t>
      </w:r>
      <w:r>
        <w:t>https://mcp.opencaselaw.ch/entscheid/zh_obergericht_LE110071</w:t>
      </w:r>
    </w:p>
    <w:p>
      <w:r>
        <w:t>FR: ZH_OBERGERICHT LE110071 du 18 juillet 2012</w:t>
      </w:r>
    </w:p>
    <w:p>
      <w:r>
        <w:t>IT: ZH_OBERGERICHT LE110071 del 18 luglio 2012</w:t>
      </w:r>
    </w:p>
    <w:p>
      <w:pPr>
        <w:pStyle w:val="Heading2"/>
      </w:pPr>
      <w:r>
        <w:t>Erwägungen</w:t>
      </w:r>
    </w:p>
    <w:p>
      <w:r>
        <w:rPr>
          <w:b/>
        </w:rPr>
        <w:t>E. 2</w:t>
      </w:r>
    </w:p>
    <w:p>
      <w:r>
        <w:t>Mit Eingabe vom 23. Dezember 2011 (zur Post gegeben am 24. De- zember 2011, eingegangen am 28. Dezember 2011) erhob der Beklagte innert Frist Berufung mit eingangs erwähnten Anträgen (Urk. 19). Dispositiv Ziffern 1, 2,</w:t>
      </w:r>
    </w:p>
    <w:p>
      <w:r>
        <w:rPr>
          <w:b/>
        </w:rPr>
        <w:t>E. 3</w:t>
      </w:r>
    </w:p>
    <w:p>
      <w:r>
        <w:t>Am 5. Januar 2012 stellte die Klägerin einen Antrag auf Festlegung provisorischer Unterhaltsbeiträge während der Prozessdauer (Urk. 21). Mit Präsi- dialverfügung vom 13. Januar 2012 wurde die vorzeitige Vollstreckbarkeit von Dispositiv-Ziffer 4 des Urteils des Einzelgerichts im summarischen Verfahren am Bezirksgericht Andelfingen vom 15. November 2011 ab sofort für die Zeit bis zum 31. März 2012 in vollem Umfang sowie für die Zeit ab dem 1. April 2012 im Um- fang von monatlich Fr. 2'140.– (exkl. Kinderzulage) bewilligt. Sodann wurde der Beklagte zur Leistung eines Prozesskostenvorschusses von Fr. 2'000.– verpflich- tet (Urk. 22 S. 7).</w:t>
      </w:r>
    </w:p>
    <w:p>
      <w:r>
        <w:rPr>
          <w:b/>
        </w:rPr>
        <w:t>E. 3.1</w:t>
      </w:r>
    </w:p>
    <w:p>
      <w:r>
        <w:t>In Abänderung des vorinstanzlichen Entscheides vereinbarten die Par- teien ein Ferienbesuchsrecht für den Beklagten von insgesamt sechs Wochen pro Jahr, wie die Klägerin dies bereits vor Vorinstanz und der Beklagte im Berufungs- verfahren beantragt hatten (Prot. I S. 13; Urk. 19). Da der Beklagte an seiner jet- zigen Arbeitsstelle sechs Wochen Ferien pro Jahr zu Gute hat (Prot. II S. 4) und eine solche Regelung auch dem Kindeswohl entspricht, ist dieser Punkt der Ver- einbarung zu genehmigen und dem Beklagten ein Ferienbesuchsrecht von sechs Wochen pro Jahr zuzusprechen.</w:t>
      </w:r>
    </w:p>
    <w:p>
      <w:r>
        <w:rPr>
          <w:b/>
        </w:rPr>
        <w:t>E. 3.2</w:t>
      </w:r>
    </w:p>
    <w:p>
      <w:r>
        <w:t>In finanzieller Hinsicht beantragte der Beklagte eine Reduktion der Un- terhaltsbeiträge an die drei Kinder mit der Begründung, dass diese nicht den kon- kreten Verhältnissen und der gegebenen Leistungsfähigkeit bzw. der tatsächli- chen Lebensstellung entsprechen würden und nicht angemessen seien (Urk. 19). Da Rechtsbegehren nach Treu und Glauben auszulegen sind, wurde bereits mit Verfügung vom 13. Januar 2012 festgehalten, dass der Antrag dahingehend zu verstehen sei, dass der Beklagte die Reduktion der Unterhaltsbeiträge ab 1. April 2012 auf insgesamt Fr. 2'140.– pro Monat beantragte (Fr. 5'830.– [80% Einkom- men, unbestritten] abzüglich Fr. 3'690.– [unbestritten gebliebener Bedarf ab 1. April 2012], Urk. 22 S. 4 f.). In Anbetracht der Tatsache, dass die Klägerin neu ein Pensum vom 40% arbeitet und entsprechend einen Lohn von rund Fr. 2'200.–</w:t>
      </w:r>
    </w:p>
    <w:p>
      <w:r>
        <w:t>- 8 - (inkl. 13. Monatslohn) erzielt (Prot. II S. 5), sowie unter Berücksichtigung der Kin- derzulagen sind die vorliegend festgesetzten Unterhaltsbeiträge angemessen. Entsprechend ist auch dieser Punkt der Vereinbarung zu genehmigen. III. 1.1 Die Entscheidgebühr für das Berufungsverfahren ist in Anwendung von § 12 Abs. 1 und 2 i.V.m. § 2 lit. a, c und d sowie § 5 Abs. 1, § 6 Abs. 2 lit. b, § 8 Abs. 1 und § 10 Abs. 1 der Gebührenverordnung des Obergerichts (GebV OG, LS 211.11) auf Fr. 1'500.– festzusetzen. 1.2. Bei einem Vergleich trägt nach Art. 109 Abs. 1 ZPO grundsätzlich jede Partei die Prozesskosten nach Massgabe des Vergleichs. Entsprechend sind die zweitinstanzlichen Gerichtskosten den Parteien vereinbarungsgemäss je zur Hälf- te aufzuerlegen. 2. Ebenfalls nach Massgabe des Vergleichs ist davon abzusehen, Partei- entschädigungen für das Berufungsverfahren zuzusprechen. Es wird erkannt: 1. In Abänderung von Dispositivziffer 3 Abs. 2 des Urteils des Einzelgerichts im summarischen Verfahren am Bezirksgericht Andelfingen vom 15. November 2011 wird der Beklagte für berechtigt erklärt, die drei Kinder jeweils für</w:t>
      </w:r>
    </w:p>
    <w:p>
      <w:r>
        <w:rPr>
          <w:b/>
        </w:rPr>
        <w:t>E. 4</w:t>
      </w:r>
    </w:p>
    <w:p>
      <w:r>
        <w:t>Nach Eingang des Kostenvorschusses wurden die Parteien zur Ver- handlung auf den 21. Juni 2012 vorgeladen (Urk. 23; Urk. 24).</w:t>
      </w:r>
    </w:p>
    <w:p>
      <w:r>
        <w:t>- 6 - II. 1. Anlässlich der Verhandlung vom 21. Juni 2012 wurde den Parteien ein Vergleichsvorschlag unterbreitet. Die Klägerin erklärte sich mit dem Vergleich noch gleichentags einverstanden. Dem Beklagten wurde eine Frist bis zum 2. Juli 2012 (Datum des Poststempels) angesetzt, um den Vergleichsvorschlag zu un- terzeichnen. Gleichzeitig wurden ihm drei von der Klägerin bereits eigenhändig unterzeichnete Vergleichstexte mitgegeben (Prot. II S. 6). Der vom Beklagten un- terzeichnete Vergleich ging am 3. Juli 2012 ein. Der Vergleich lautet wie folgt (Urk. 26): "1. Die Parteien beantragen übereinstimmend, Dispositivziffer 3 Abs. 2 und Dispositivzif- fer 4 – letztere in Bezug auf die Dauer ab April 2012 – des Urteils des Einzelrichters im summarischen Verfahren am Bezirksgericht Andelfingen vom 15. November 2011 sei wie folgt abzuändern: '3. (…) Ausserdem wird der Beklagte berechtigt erklärt, die drei Kinder jeweils für</w:t>
      </w:r>
    </w:p>
    <w:p>
      <w:r>
        <w:rPr>
          <w:b/>
        </w:rPr>
        <w:t>E. 6</w:t>
      </w:r>
    </w:p>
    <w:p>
      <w:r>
        <w:t>Schriftliche Mitteilung an die Parteien, an die Klägerin unter Beilage von Urk. 27, sowie an das Einzelgericht im summarischen Verfahren am Be- zirksgericht Andelfingen, je gegen Empfangsschein.</w:t>
      </w:r>
    </w:p>
    <w:p>
      <w:r>
        <w:t>- 10 - Die erstinstanzlichen Akten gehen nach unbenütztem Ablauf der Rechtsmit- telfrist an die Vorinstanz zurück.</w:t>
      </w:r>
    </w:p>
    <w:p>
      <w:r>
        <w:rPr>
          <w:b/>
        </w:rPr>
        <w:t>E. 7</w:t>
      </w:r>
    </w:p>
    <w:p>
      <w:r>
        <w:t>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18. Juli 2012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