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LE110062 vom 24. Mai 2012</w:t>
      </w:r>
    </w:p>
    <w:p>
      <w:r>
        <w:t>ZH Obergericht, 2012-05-24, DE</w:t>
      </w:r>
    </w:p>
    <w:p>
      <w:r>
        <w:rPr>
          <w:b/>
        </w:rPr>
        <w:t xml:space="preserve">Quelle: </w:t>
      </w:r>
      <w:r>
        <w:t>https://mcp.opencaselaw.ch/entscheid/zh_obergericht_LE110062</w:t>
      </w:r>
    </w:p>
    <w:p>
      <w:r>
        <w:t>FR: ZH_OBERGERICHT LE110062 du 24 mai 2012</w:t>
      </w:r>
    </w:p>
    <w:p>
      <w:r>
        <w:t>IT: ZH_OBERGERICHT LE110062 del 24 maggio 2012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Kinder C._____ und D._____ werden unter der gemeinsamen Ob- hut der Gesuchsteller belassen.</w:t>
      </w:r>
    </w:p>
    <w:p>
      <w:r>
        <w:rPr>
          <w:b/>
        </w:rPr>
        <w:t>E. 3</w:t>
      </w:r>
    </w:p>
    <w:p>
      <w:r>
        <w:t>Die Vereinbarung der Parteien vom 19. August 2011 über die Neben- folgen des Getrenntlebens wird vorgemerkt und in Bezug auf die Kin- derbelange genehmigt.</w:t>
      </w:r>
    </w:p>
    <w:p>
      <w:r>
        <w:rPr>
          <w:b/>
        </w:rPr>
        <w:t>E. 4</w:t>
      </w:r>
    </w:p>
    <w:p>
      <w:r>
        <w:t>Es wird die Gütertrennung mit Wirkung ab 14. Januar 2011 angeordnet.</w:t>
      </w:r>
    </w:p>
    <w:p>
      <w:r>
        <w:rPr>
          <w:b/>
        </w:rPr>
        <w:t>E. 5</w:t>
      </w:r>
    </w:p>
    <w:p>
      <w:r>
        <w:t>Die eheliche 4,5-Zimmerwohnung und der Bastelraum Nr. … UG an der G._____-Str. … in H._____ werden (einschliesslich Mietzinsdepot) samt Mobiliar und Hausrat (mit Ausnahme der Gegenstände gemäss Zif- fer 12 der Parteivereinbarung) für die Dauer des Getrenntlebens der Gesuchstellerin A._____ zur alleinigen Benützung zugewiesen.</w:t>
      </w:r>
    </w:p>
    <w:p>
      <w:r>
        <w:rPr>
          <w:b/>
        </w:rPr>
        <w:t>E. 6</w:t>
      </w:r>
    </w:p>
    <w:p>
      <w:r>
        <w:t>(Kosten)</w:t>
      </w:r>
    </w:p>
    <w:p>
      <w:r>
        <w:rPr>
          <w:b/>
        </w:rPr>
        <w:t>E. 7</w:t>
      </w:r>
    </w:p>
    <w:p>
      <w:r>
        <w:t>Die Kosten werden den Parteien je zur Hälfte auferlegt, jedoch zufolge Bewilligung der unentgeltlichen Rechtspflege einstweilen auf die Ge- richtskasse genommen. Eine Nachforderung im Sinne von Art. 123 ZPO bleibt vorbehalten.</w:t>
      </w:r>
    </w:p>
    <w:p>
      <w:r>
        <w:rPr>
          <w:b/>
        </w:rPr>
        <w:t>E. 8</w:t>
      </w:r>
    </w:p>
    <w:p>
      <w:r>
        <w:t>Vom gegenseitigen Verzicht der Parteien auf Prozessentschädigung wird Vormerk genommen.</w:t>
      </w:r>
    </w:p>
    <w:p>
      <w:r>
        <w:rPr>
          <w:b/>
        </w:rPr>
        <w:t>E. 9</w:t>
      </w:r>
    </w:p>
    <w:p>
      <w:r>
        <w:t>(Mitteilungssatz).</w:t>
      </w:r>
    </w:p>
    <w:p>
      <w:r>
        <w:rPr>
          <w:b/>
        </w:rPr>
        <w:t>E. 10</w:t>
      </w:r>
    </w:p>
    <w:p>
      <w:r>
        <w:t>Der Gesuchsteller verpflichtet sich, die notwendigen Unterschriften zu leisten, damit der Mietvertrag samt Mietkaution betreffend die ehemalige eheliche Wohnung an der G._____-Strasse …, H._____ auf die Gesuchstellerin überschrieben werden kann.</w:t>
      </w:r>
    </w:p>
    <w:p>
      <w:r>
        <w:t>- 8 -</w:t>
      </w:r>
    </w:p>
    <w:p>
      <w:r>
        <w:rPr>
          <w:b/>
        </w:rPr>
        <w:t>E. 11</w:t>
      </w:r>
    </w:p>
    <w:p>
      <w:r>
        <w:t>Die Parteien verzichten für das Verfahren vor dem Obergericht des Kantons Zürich gegenseitig auf eine Umtriebs- und Prozessentschädigung. 10. Die Parteien beantragen dem Obergericht des Kantons Zürich gemeinsam, das vor- liegende Verfahren im weiteren als durch Vergleich vollumfänglich erledigt abzu- schreiben." 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