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LE110042 vom 18. Januar 2012</w:t>
      </w:r>
    </w:p>
    <w:p>
      <w:r>
        <w:t>ZH Obergericht, 2012-01-18, DE</w:t>
      </w:r>
    </w:p>
    <w:p>
      <w:r>
        <w:rPr>
          <w:b/>
        </w:rPr>
        <w:t xml:space="preserve">Quelle: </w:t>
      </w:r>
      <w:r>
        <w:t>https://mcp.opencaselaw.ch/entscheid/zh_obergericht_LE110042</w:t>
      </w:r>
    </w:p>
    <w:p>
      <w:r>
        <w:t>FR: ZH_OBERGERICHT LE110042 du 18 janvier 2012</w:t>
      </w:r>
    </w:p>
    <w:p>
      <w:r>
        <w:t>IT: ZH_OBERGERICHT LE110042 del 18 gennaio 2012</w:t>
      </w:r>
    </w:p>
    <w:p>
      <w:pPr>
        <w:pStyle w:val="Heading2"/>
      </w:pPr>
      <w:r>
        <w:t>Erwägungen</w:t>
      </w:r>
    </w:p>
    <w:p>
      <w:r>
        <w:rPr>
          <w:b/>
        </w:rPr>
        <w:t>E. 11</w:t>
      </w:r>
    </w:p>
    <w:p>
      <w:r>
        <w:t>Januar 2012, zog der Beklagte die Berufung zurück. Er teilte mit, er überneh- me die Kosten für das laufende Verfahren und die Klägerin verzichte auf eine Prozessentschädigung, das betreffende Schreiben ist von beiden Parteien unter- zeichnet (Urk. 32). Das Verfahren ist entsprechend abzuschreiben. Der beklagtische Vertreter teilte mit Schreiben vom 10. Januar 2012 mit, dass er den Beklagten nicht mehr vertrete sowie, dass dieser eine neue Adresse habe. Das Rubrum ist entsprechend zu berichtigen (Urk. 33). Mit dem Rückzug wird auch die erstinstanzliche Regelung der Kosten- und Entschädigungsfolgen rechtskräftig. Ausgangs- und antragsgemäss sind die Pro- zesskosten des Rechtsmittelverfahrens dem Beklagten aufzuerlegen (Art. 106 Abs. 1 ZPO). Vom Verzicht der Klägerin auf eine Parteientschädigung für das Rechtsmittelverfahren ist Vormerk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