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LD190006 vom 23. Dezember 2019</w:t>
      </w:r>
    </w:p>
    <w:p>
      <w:r>
        <w:t>ZH Obergericht, 2019-12-23, DE</w:t>
      </w:r>
    </w:p>
    <w:p>
      <w:r>
        <w:rPr>
          <w:b/>
        </w:rPr>
        <w:t xml:space="preserve">Quelle: </w:t>
      </w:r>
      <w:r>
        <w:t>https://mcp.opencaselaw.ch/entscheid/zh_obergericht_LD190006</w:t>
      </w:r>
    </w:p>
    <w:p>
      <w:r>
        <w:t>FR: ZH_OBERGERICHT LD190006 du 23 décembre 2019</w:t>
      </w:r>
    </w:p>
    <w:p>
      <w:r>
        <w:t>IT: ZH_OBERGERICHT LD190006 del 23 dicembre 2019</w:t>
      </w:r>
    </w:p>
    <w:p>
      <w:pPr>
        <w:pStyle w:val="Heading2"/>
      </w:pPr>
      <w:r>
        <w:t>Erwägungen</w:t>
      </w:r>
    </w:p>
    <w:p>
      <w:r>
        <w:rPr>
          <w:b/>
        </w:rPr>
        <w:t>E. 1</w:t>
      </w:r>
    </w:p>
    <w:p>
      <w:r>
        <w:t>a) Die Parteien standen seit dem 7. August 2019 (Urk. 1 S. 1) vor Vor- instanz in einem Verfahren betreffend Anweisung an den Schuldner gemäss Art. 177 ZGB gestützt auf das rechtskräftige Eheschutzurteil des Einzelgerichts im summarischen Verfahren am Bezirksgericht Pfäffikon vom 19. Februar 2019 (EE180056-H). Zum erstinstanzlichen Verfahrenslauf kann auf die zutreffende Darstellung im angefochtenen Entscheid verwiesen werden (Urk. 37 S. 2f.). b) Mit Verfügung vom 19. September 2019 schrieb die Vorinstanz das Ge- such der Klägerin und Berufungsbeklagten (fortan Klägerin) um unentgeltliche Rechtspflege infolge Gegenstandslosigkeit ab und wies das Gesuch um unent- geltliche Rechtspflege des Beklagten und Berufungsklägers (fortan Beklagter) ab (Urk. 37 S. 7). Mit gleichentags ergangenem und am 23. September 2019 hin- sichtlich Dispositiv-Ziffer 1 berichtigtem Urteil entschied der Vorderrichter ferner Folgendes (Urk. 37 S. 7f.):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