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LD150001 vom 5. Februar 2016</w:t>
      </w:r>
    </w:p>
    <w:p>
      <w:r>
        <w:t>ZH Obergericht, 2016-02-05, DE</w:t>
      </w:r>
    </w:p>
    <w:p>
      <w:r>
        <w:rPr>
          <w:b/>
        </w:rPr>
        <w:t xml:space="preserve">Quelle: </w:t>
      </w:r>
      <w:r>
        <w:t>https://mcp.opencaselaw.ch/entscheid/zh_obergericht_LD150001</w:t>
      </w:r>
    </w:p>
    <w:p>
      <w:r>
        <w:t>FR: ZH_OBERGERICHT LD150001 du 5 février 2016</w:t>
      </w:r>
    </w:p>
    <w:p>
      <w:r>
        <w:t>IT: ZH_OBERGERICHT LD150001 del 5 febbraio 2016</w:t>
      </w:r>
    </w:p>
    <w:p>
      <w:pPr>
        <w:pStyle w:val="Heading2"/>
      </w:pPr>
      <w:r>
        <w:t>Erwägungen</w:t>
      </w:r>
    </w:p>
    <w:p>
      <w:r>
        <w:rPr>
          <w:b/>
        </w:rPr>
        <w:t>E. 7</w:t>
      </w:r>
    </w:p>
    <w:p>
      <w:r>
        <w:t>Eine Beschwerde gegen diesen Entscheid an das Bundesgericht ist innert 30 Tagen von der Zustellung an beim Schweizerischen Bundesgericht,</w:t>
      </w:r>
    </w:p>
    <w:p>
      <w:r>
        <w:t>- 10 - 1000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(Ziff. 2-5) bzw. ein Zwischenent- scheid im Sinne von Art. 93 BGG (Ziff. 1). Es handelt sich um eine vermögensrechtliche Angelegenheit. Der Streitwert beträgt Fr. 7'596.–. Die Beschwerde an das Bundesgericht hat keine aufschiebende Wirkung. Hinsichtlich des Fristenlaufs gelten die Art. 44 ff. BGG. Zürich, 5. Februar 2016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