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LD140004 vom 9. Juli 2014</w:t>
      </w:r>
    </w:p>
    <w:p>
      <w:r>
        <w:t>ZH Obergericht, 2014-07-09, DE</w:t>
      </w:r>
    </w:p>
    <w:p>
      <w:r>
        <w:rPr>
          <w:b/>
        </w:rPr>
        <w:t xml:space="preserve">Quelle: </w:t>
      </w:r>
      <w:r>
        <w:t>https://mcp.opencaselaw.ch/entscheid/zh_obergericht_LD140004</w:t>
      </w:r>
    </w:p>
    <w:p>
      <w:r>
        <w:t>FR: ZH_OBERGERICHT LD140004 du 9 juillet 2014</w:t>
      </w:r>
    </w:p>
    <w:p>
      <w:r>
        <w:t>IT: ZH_OBERGERICHT LD140004 del 9 luglio 2014</w:t>
      </w:r>
    </w:p>
    <w:p>
      <w:pPr>
        <w:pStyle w:val="Heading2"/>
      </w:pPr>
      <w:r>
        <w:t>Erwägungen</w:t>
      </w:r>
    </w:p>
    <w:p>
      <w:r>
        <w:rPr>
          <w:b/>
        </w:rPr>
        <w:t>E. 2</w:t>
      </w:r>
    </w:p>
    <w:p>
      <w:r>
        <w:t>Hiergegen wandte sich der Beklagte mit als "Berufung / Einspruch" betitelter Eingabe vom 5. Juni 2014 (Datum des Poststempels: 6. Juni 2014) an das Ober- gericht und beantragte sinngemäss, die Schuldneranweisung sei aufzuheben (Urk. 17).</w:t>
      </w:r>
    </w:p>
    <w:p>
      <w:r>
        <w:rPr>
          <w:b/>
        </w:rPr>
        <w:t>E. 3</w:t>
      </w:r>
    </w:p>
    <w:p>
      <w:r>
        <w:t>Da sich die vorliegende Berufung von vornherein als aussichtslos erweist, erübrigt sich das Einholen einer Berufungsantwort der Klägerin (vgl. Art. 312 Abs. 1 ZPO). 4.1. Mit der Berufung können unrichtige Rechtsanwendung und unrichtige Fest- stellung des Sachverhalts geltend gemacht werden (Art. 310 ZPO). 4.2. Die Vorinstanz hielt in ihrem Entscheid fest, der Beklagte sei mit Schei- dungsurteil des Bezirksgerichtes Bülach vom 27. November 2013 verpflichtet worden, seiner Ex-Frau B._____ jeweils monatliche Kinderunterhaltsbeiträge in der Höhe von Fr. 1'000.– (zuzüglich Kinderzulagen) für das Kind C._____ sowie Ehegattenunterhaltsbeiträge für sie persönlich in der Höhe von Fr. 1'750.– zu be- zahlen. Die vom Beklagten geschuldeten Unterhaltsbeiträge seien teilweise von</w:t>
      </w:r>
    </w:p>
    <w:p>
      <w:r>
        <w:t>- 3 - der Klägerin bevorschusst worden. Ausserdem habe B._____ ihren Anspruch auf diese Unterhaltsbeiträge an die Klägerin abgetreten. Da der Beklagte - wie sich aus den Akten ergebe - seiner Unterhaltspflicht nicht nachkomme und die von ihm behaupteten teilweisen Direktzahlungen an seine Ex-Frau weder konkret behaup- te noch belege, erscheine es naheliegend, dass er seiner Unterhaltspflicht auch in Zukunft nicht nachkommen werde. Eine Schuldneranweisung erweise sich zudem als verhältnismässig, da eine solche in der Höhe der monatlich geschuldeten Un- terhaltsbeiträge nicht in das Existenzminimum des Beklagten eingreife (Urk. 18 S. 2 ff.). 4.3. Der Beklagte setzt sich in seiner Berufung nicht mit den vorinstanzlichen Erwägungen auseinander. Er macht lediglich geltend, er widerspreche den Forde- rungen der Klägerin, "da die monatlichen Forderungen nicht zu 100%" an seine Ex-Frau weitergeleitet worden seien und er diese samt den gemeinsamen Kin- dern trotzdem unterstützen müsse. Die Klägerin - beziehungsweise das Sozialamt Bülach - bezahle Stromrechnungen, Krankenkassenprämien, Essen für seinen Sohn etc. nicht, weshalb er monatlich zusätzliche finanzielle Unterstützung habe leisten müssen (Urk. 17). Für diese behaupteten Direktzahlungen bleibt der Be- klagte indes auch im Berufungsverfahren den Beweis schuldig und vermag diese auch nicht glaubhaft zu machen. Weiter tut er nicht dar, inwiefern die Vorinstanz das Recht unrichtig angewendet oder den Sachverhalt unrichtig festgestellt haben soll. 4.4. Die Berufung ist daher als offensichtlich unbegründet abzuweisen. 4.5. Soweit der Beklagte geltend macht, er wolle "bei einem erneuten Gerichts- verfahren die Möglichkeit haben, einen Rechtsverteidiger beizuziehen" ist anzu- merken, dass es ihm jederzeit frei steht und stand, sich rechtlich vertreten zu las- sen. Eine Erlaubnis des Gerichts benötigt er hierzu nicht. Jedoch hat die Beru- fungsinstanz keine Kenntnis von einer allfälligen rechtlichen Vertretung des Be- klagten. 5.1. Bei diesem Ausgang des Berufungsverfahrens ist die vorinstanzliche Kos- ten- und Entschädigungsregelung (Urk. 18, Dispositivziffern 2 - 4) zu bestätigen.</w:t>
      </w:r>
    </w:p>
    <w:p>
      <w:r>
        <w:t>- 4 - 5.2. Ausgangsgemäss sind die Kosten für das Berufungsverfahren in Anwen- dung der Gebührenverordnung des Obergerichts (GebV OG) auf Fr. 2'500.– fest- zusetzen und gestützt auf Art. 106 Abs. 1 ZPO dem Beklagten aufzuerlegen. 5.3. Der Klägerin ist mangels wesentlicher Umtriebe für das Berufungsverfahren keine Entschädigung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