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LD110005 vom 21. Februar 2012</w:t>
      </w:r>
    </w:p>
    <w:p>
      <w:r>
        <w:t>ZH Obergericht, 2012-02-21, DE</w:t>
      </w:r>
    </w:p>
    <w:p>
      <w:r>
        <w:rPr>
          <w:b/>
        </w:rPr>
        <w:t xml:space="preserve">Quelle: </w:t>
      </w:r>
      <w:r>
        <w:t>https://mcp.opencaselaw.ch/entscheid/zh_obergericht_LD110005</w:t>
      </w:r>
    </w:p>
    <w:p>
      <w:r>
        <w:t>FR: ZH_OBERGERICHT LD110005 du 21 février 2012</w:t>
      </w:r>
    </w:p>
    <w:p>
      <w:r>
        <w:t>IT: ZH_OBERGERICHT LD110005 del 21 febbraio 2012</w:t>
      </w:r>
    </w:p>
    <w:p>
      <w:pPr>
        <w:pStyle w:val="Heading2"/>
      </w:pPr>
      <w:r>
        <w:t>Erwägungen</w:t>
      </w:r>
    </w:p>
    <w:p>
      <w:r>
        <w:rPr>
          <w:b/>
        </w:rPr>
        <w:t>E. 1</w:t>
      </w:r>
    </w:p>
    <w:p>
      <w:r>
        <w:t>Mit Urteil vom 14. November 2011 hiess das Einzelgericht im summari- schen Verfahren am Bezirksgericht Pfäffikon das Begehren der Berufungsbeklag- ten und Klägerin (fortan Klägerin) betreffend Anweisung an den Schuldner gut. Der Berufungskläger und Beklagte (fortan Beklagter) war zur Hauptverhandlung vom 14. November 2011 nicht erschienen (Urk. 19 S. 3, S. 5).</w:t>
      </w:r>
    </w:p>
    <w:p>
      <w:r>
        <w:rPr>
          <w:b/>
        </w:rPr>
        <w:t>E. 2</w:t>
      </w:r>
    </w:p>
    <w:p>
      <w:r>
        <w:t>Hiergegen erhob der Beklagte mit Schreiben vom 1. Dezember 2011, zur Post gegeben am 4. Dezember 2011 und eingegangen am 5. Dezember 2011, innert Frist rechtzeitig Berufung mit dem sinngemäss Antrag auf Aufhebung des vorinstanzlichen Entscheides und Rückweisung des Verfahrens an die Vo- rinstanz (Urk. 18).</w:t>
      </w:r>
    </w:p>
    <w:p>
      <w:r>
        <w:rPr>
          <w:b/>
        </w:rPr>
        <w:t>E. 3</w:t>
      </w:r>
    </w:p>
    <w:p>
      <w:r>
        <w:t>Da der Beklagte vorbrachte, die Vorinstanz habe die Vorladung zur Hauptverhandlung an eine nicht gültige Adresse zugestellt, wurden betreffend Wohn- und Aufenthaltsort des Beklagten eingehende Abklärungen vorgenommen (Urk. 20; Urk. 21; Urk. 23).</w:t>
      </w:r>
    </w:p>
    <w:p>
      <w:r>
        <w:rPr>
          <w:b/>
        </w:rPr>
        <w:t>E. 4</w:t>
      </w:r>
    </w:p>
    <w:p>
      <w:r>
        <w:t>Mit Präsidialverfügung vom 30. Dezember 2011 wurde dem Beklagten eine Frist von 10 Tagen zur Leistung eines Kostenvorschusses in der Höhe von Fr. 2'000.– angesetzt, unter gleichzeitigem Hinweis auf die Möglichkeit der unent- geltlichen Rechtspflege und unter Androhung der Säumnisfolgen (Urk. 22). Diese Verfügung wurde dem Beklagten an seine offizielle Meldeadresse "c/o C._____, E._____strasse …, D._____" zugestellt (Urk. 22; Urk. 23). Da der Beklagte noch vor Vorinstanz geltend gemacht hatte, mit seiner Mutter (wohnhaft an der E._____strasse …, D._____) keinen Kontakt mehr zu haben (Urk. 16), wurde gleichzeitig eine Kopie dieser Verfügung an die vom Beklagten angegebene Ad- resse "F._____, A._____, G._____strasse …, H._____" gesandt (Urk. 22). Da sich der Beklagte innert dieser Frist nicht vernehmen liess, wurde ihm mit Präsidi- alverfügung vom 27. Januar 2012 eine Nachfrist von 7 Tagen angesetzt, unter er- neuter Androhung der Säumnisfolgen (Urk. 24). Diese Verfügung wurde ebenso an beide Adressen geschickt (Urk. 24). Der Kostenvorschuss wurde innert Frist</w:t>
      </w:r>
    </w:p>
    <w:p>
      <w:r>
        <w:t>- 3 - nicht geleistet (Urk. 25). Auch hat sich der Beklagte innert dieser Frist erneut nicht vernehmen lassen.</w:t>
      </w:r>
    </w:p>
    <w:p>
      <w:r>
        <w:rPr>
          <w:b/>
        </w:rPr>
        <w:t>E. 5</w:t>
      </w:r>
    </w:p>
    <w:p>
      <w:r>
        <w:t>Androhungsgemäss ist auf die Berufung nicht einzutreten, ist die Leis- tung des Gerichtskostenvorschusses doch Prozessvoraussetzung (Suter/von Hol- zen in: Sutter-Somm/Hasenböhler/Leuenberger, ZPO-Komm., Zürich/Basel/ Genf 2010, N 14 zu Art. 101 ZPO).</w:t>
      </w:r>
    </w:p>
    <w:p>
      <w:r>
        <w:rPr>
          <w:b/>
        </w:rPr>
        <w:t>E. 6</w:t>
      </w:r>
    </w:p>
    <w:p>
      <w:r>
        <w:t>a) Bei diesem Ausgang des Verfahrens sind die Kosten dem Beklag- ten aufzuerlegen (Art. 103 ZPO i.V.m. Art. 106 Abs. 1 ZPO). Ausgehend von ei- nem Streitwert von Fr. 133'000.– ist die zweitinstanzliche Gerichtsgebühr in An- wendung von § 12 in Verbindung mit § 4 Abs. 1 und 2 sowie und § 8 Abs. 1 GebV OG auf Fr. 2'000.– festzusetzen. b) Mangels Umtrieben ist der Klägerin für das Beschwerdeverfahren keine Parteientschädigung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