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LC240053 vom 29. Januar 2025</w:t>
      </w:r>
    </w:p>
    <w:p>
      <w:r>
        <w:t>ZH Obergericht, 2025-01-29, DE</w:t>
      </w:r>
    </w:p>
    <w:p>
      <w:r>
        <w:rPr>
          <w:b/>
        </w:rPr>
        <w:t xml:space="preserve">Quelle: </w:t>
      </w:r>
      <w:r>
        <w:t>https://mcp.opencaselaw.ch/entscheid/zh_obergericht_LC240053</w:t>
      </w:r>
    </w:p>
    <w:p>
      <w:r>
        <w:t>FR: ZH_OBERGERICHT LC240053 du 29 janvier 2025</w:t>
      </w:r>
    </w:p>
    <w:p>
      <w:r>
        <w:t>IT: ZH_OBERGERICHT LC240053 del 29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und Berufungsklägerin (fortan: Berufungsklägerin) und der Be- klagte und Berufungsbeklagte (fortan: Berufungsbeklagter) heirateten 2018. Sie haben zwei gemeinsame Kinder, C._____ (geb. tt.mm.2018) und D._____ (geb. tt.mm.2019). Die Berufungsklägerin wohnt mit den Kindern in Serbien. Der Beru- fungsbeklagte wohnt in Zürich.</w:t>
      </w:r>
    </w:p>
    <w:p>
      <w:r>
        <w:rPr>
          <w:b/>
        </w:rPr>
        <w:t>E. 2</w:t>
      </w:r>
    </w:p>
    <w:p>
      <w:r>
        <w:t>Mit Eingabe vom 12. Juli 2023 erhob die Berufungsklägerin Scheidungskla- ge beim Bezirksgericht Zürich (Vorinstanz; act. 8/1). Der Verlauf des erstinstanzli- chen Verfahrens ist im angefochten Entscheid dargestellt (act. 7 S. 5 ff.); darauf kann verwiesen werden. Beide Parteien waren vor Vorinstanz (unentgeltlich) an- waltlich vertreten. Die Vorinstanz entschied mit Urteil vom 3. Dezember 2024, was folgt (act. 8/118 = act. 7 [Aktenexemplar]):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