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LC240019 vom 25. Juni 2024</w:t>
      </w:r>
    </w:p>
    <w:p>
      <w:r>
        <w:t>ZH Obergericht, 2024-06-25, DE</w:t>
      </w:r>
    </w:p>
    <w:p>
      <w:r>
        <w:rPr>
          <w:b/>
        </w:rPr>
        <w:t xml:space="preserve">Quelle: </w:t>
      </w:r>
      <w:r>
        <w:t>https://mcp.opencaselaw.ch/entscheid/zh_obergericht_LC240019</w:t>
      </w:r>
    </w:p>
    <w:p>
      <w:r>
        <w:t>FR: ZH_OBERGERICHT LC240019 du 25 juin 2024</w:t>
      </w:r>
    </w:p>
    <w:p>
      <w:r>
        <w:t>IT: ZH_OBERGERICHT LC240019 del 25 giugno 2024</w:t>
      </w:r>
    </w:p>
    <w:p>
      <w:pPr>
        <w:pStyle w:val="Heading2"/>
      </w:pPr>
      <w:r>
        <w:t>Erwägungen</w:t>
      </w:r>
    </w:p>
    <w:p>
      <w:r>
        <w:rPr>
          <w:b/>
        </w:rPr>
        <w:t>E. 1</w:t>
      </w:r>
    </w:p>
    <w:p>
      <w:r>
        <w:t>Die Parteien heirateten am tt. Juli 2012 in F._____ ZH. Sie haben keine ge- meinsamen Kinder (act. 27/2). Während der Ehe lebten sie in der Eigentumswoh- nung der Beklagten und Berufungsbeklagten (nachfolgend Beklagte) an der E._____-strasse 3 in F._____ ZH.</w:t>
      </w:r>
    </w:p>
    <w:p>
      <w:r>
        <w:rPr>
          <w:b/>
        </w:rPr>
        <w:t>E. 1.1</w:t>
      </w:r>
    </w:p>
    <w:p>
      <w:r>
        <w:t>Gegen den angefochtenen Entscheid ist die Berufung gemäss Art. 308 Abs. 1 lit. a ZPO zulässig. Der Kläger erhob die Berufung rechtzeitig innert 30-tägiger Rechtsmittelfrist (Art. 311 Abs. 1 ZPO; act. 80). Die Berufungsschrift enthält An- träge sowie eine Begründung derselben (vgl. Art. 311 ZPO). Der Kläger leistete den Vorschuss fristgerecht. Auch ist er durch den vorinstanzlichen Entscheid beschwert und zur Berufung legitimiert. Die Eintretensvoraussetzungen sind daher erfüllt.</w:t>
      </w:r>
    </w:p>
    <w:p>
      <w:r>
        <w:rPr>
          <w:b/>
        </w:rPr>
        <w:t>E. 1.2</w:t>
      </w:r>
    </w:p>
    <w:p>
      <w:r>
        <w:t>Mit der Berufung können sowohl die unrichtige Rechtsanwendung als auch die unrichtige Feststellung des Sachverhaltes, einschliesslich Unangemessenheit</w:t>
      </w:r>
    </w:p>
    <w:p>
      <w:r>
        <w:t>- 7 - geltend gemacht werden (Art. 310 ZPO). Die Berufung erhebende Partei trifft eine Begründungslast. Sie hat substantiiert vorzutragen, aus welchen Gründen der an- gefochtene Entscheid unrichtig ist und wie er geändert werden muss (BGer 4A_418/2017 vom 8. Januar 2018 E. 2.3 und 5A_111/2016 vom 6. September 2016 E. 5.3). Die Berufungsinstanz kann die vorgebrachten Mängel in tatsächlicher und rechtlicher Hinsicht frei und uneingeschränkt prüfen (freie bzw. volle Kognition; BGE 138 III 374 ff. E. 4.3.1 = Pra 102 [2013] Nr. 4). Dies bedeutet jedoch nicht, dass die Berufungsinstanz gehalten wäre, von sich aus wie ein erstinstanzliches Gericht alle sich stellenden tatsächlichen und rechtlichen Fragen zu untersuchen, wenn die Parteien diese in oberer Instanz nicht mehr aufwerfen; vielmehr hat sich die Berufungsinstanz grundsätzlich – abgesehen von offensichtlichen Mängeln – auf die Beurteilung der in der Berufungsbegründung erhobenen Beanstandungen zu beschränken und darf sich auf die wesentlichen Überlegungen konzentrieren, von welchen sie sich hat leiten lassen (BGE 142 III 413 E. 2.2.4; BGer 4A_418/2017 vom 8. Januar 2018 E. 2.3). Im Berufungsverfahren gilt grundsätzlich das be- schränkte Novenrecht gemäss Art. 317 Abs. 1 ZPO. 2.</w:t>
      </w:r>
    </w:p>
    <w:p>
      <w:r>
        <w:rPr>
          <w:b/>
        </w:rPr>
        <w:t>E. 2</w:t>
      </w:r>
    </w:p>
    <w:p>
      <w:r>
        <w:t>Am 7. Mai 2021 reichte der Kläger und Berufungskläger (nachfolgend Kläger) beim Bezirksgericht Bülach die Scheidungsklage ein (act. 1). An der Einigungsver- handlung vom 21. September 2021 konnte keine Konvention abgeschlossen wer- den (Prot.Vi S. 6 ff.). Nach Eingang der Klagebegründung (act. 26) und der Kla- geantwort (act. 32) verlangte die Vorinstanz im Hinblick auf die vorgesehene In- struktionsverhandlung vom Kläger insbesondere Belege zur 3. Säule und Lebens- versicherung sowie diverse Bankkontoauszüge (act. 34). Auf Antrag des Klägers wurde daraufhin von der Durchführung einer Instruktionsverhandlung abgesehen (act. 36 ff.). Am 5. September 2022 fand die Hauptverhandlung statt, an welcher die Parteien Replik und Duplik erstatteten und der Kläger zu den Noven in der Du- plik Stellung nahm (Prot.Vi S. 14 ff.; act. 45 und 47). Mit Verfügung vom 13. Januar 2023 teilte die Vorinstanz den Parteien mit, auf eine Parteibefragung zu verzichten, und setzte ihnen Frist an, um dagegen Einsprache zu erheben (act. 57). Davon machte keine Partei Gebrauch. Mit unbegründetem Urteil vom 8. August 2023 schied die Vorinstanz die Ehe (Dispositiv-Ziff. 1), sah von einem nachehelichen Un- terhalt ab (Dispositiv-Ziff. 2), regelte den Ausgleich der beruflichen Vorsorgegutha- ben (Dispositiv-Ziff. 3) und nahm die güterrechtliche Auseinandersetzung vor, wo- bei sie festhielt, dass keine güterrechtlichen Ausgleichszahlungen geschuldet seien (Dispositiv-Ziff. 4). Die Entscheidgebühr von CHF 8'000.– (Dispositiv-Ziff. 5) aufer- legte sie zu drei Vierteln dem Kläger und zu einem Viertel der Beklagten (Dispositiv-</w:t>
      </w:r>
    </w:p>
    <w:p>
      <w:r>
        <w:t>- 6 - Ziff. 6). Schliesslich verpflichtete sie den Kläger zur Zahlung einer reduzierten Par- teientschädigung von CHF 10'000.– an die Beklagte (Dispositiv-Ziff. 7). Auf Verlan- gen des Klägers (act. 75) begründete die Vorinstanz ihr Urteil und sandte den Par- teien die begründete Fassung im Februar 2024 zu (act. 79 f.; act. 83 und act. 84 [Aktenexemplar]).</w:t>
      </w:r>
    </w:p>
    <w:p>
      <w:r>
        <w:rPr>
          <w:b/>
        </w:rPr>
        <w:t>E. 2.1</w:t>
      </w:r>
    </w:p>
    <w:p>
      <w:r>
        <w:t>Der Kläger moniert zunächst, die Vorinstanz habe die Teilung der beruflichen Vorsorgeguthaben falsch vorgenommen. Sie habe zu Unrecht seinen Einkauf in der Höhe von CHF 51'600.– vom 26. November 2014 aus Mitteln seines Eigenguts seiner Errungenschaft zugewiesen und damit sein auszugleichendes Vorsorgegut- haben zu hoch festgesetzt (act. 82 S. 8 ff.).</w:t>
      </w:r>
    </w:p>
    <w:p>
      <w:r>
        <w:rPr>
          <w:b/>
        </w:rPr>
        <w:t>E. 2.2</w:t>
      </w:r>
    </w:p>
    <w:p>
      <w:r>
        <w:t>Die Vorinstanz führte zur beruflichen Vorsorge zusammengefasst aus, für den Einkauf vom 26. November 2014 komme als Eigengut des Klägers einzig der mit Gutschrift vom 20. November 2013 belegte Erlös von CHF 200'479.– aus dem Ver- kauf seiner G._____-Aktien in Frage, welcher seinem Privatkonto-Nr. 5 bei der H._____ AG (H._____) gutgeschrieben worden sei. Der Kläger vermöge mit dem Kontobeleg über diese Gutschrift aber nicht darzutun, dass er ein Jahr später aus diesem Verkaufserlös den Pensionskasseneinkauf getätigt habe. Er hätte den Kon- toverlauf mittels vollständiger Dokumentation des Privatkontos für den Zeitraum vom 20. November 2013 bis zum 26. November 2014 einfach belegen können, sei</w:t>
      </w:r>
    </w:p>
    <w:p>
      <w:r>
        <w:t>- 8 - er doch insbesondere mit Verfügung vom 12. April 2022 explizit zur Edition der Bankkontoauszüge für diese Zeitspanne aufgefordert worden (act. 84 S. 6 ff. E. IV./5).</w:t>
      </w:r>
    </w:p>
    <w:p>
      <w:r>
        <w:rPr>
          <w:b/>
        </w:rPr>
        <w:t>E. 2.3</w:t>
      </w:r>
    </w:p>
    <w:p>
      <w:r>
        <w:t>Dagegen bringt der Kläger vor, es sei allgemein zu vermuten, dass das Ein- kommen für den Lebensunterhalt, hingegen das Eigengut bzw. das Ersparte für Investitionen wie den Einkauf in die Pensionskasse verwendet werde. Jede Partei habe eigene Konten für ihr Eigengut unterhalten; bloss die Lebenshaltungskosten seien vom gemeinsamen Konto bestritten worden. Er habe durch diverse Verkäufe von G._____-Aktien im Oktober und November 2013 über genügend Eigengut ver- fügt, um den Einkauf in die 2. Säule zu finanzieren. Demgegenüber hätten die Par- teien seit der Eheschliessung keine Ersparnisse in dieser Höhe äufnen können. Das auszugleichende Vorsorgeguthaben belaufe sich demnach auf CHF 100'124.55 und nicht wie von der Vorinstanz angenommen auf CHF 155'729.76 (act. 82 S. 8 ff.).</w:t>
      </w:r>
    </w:p>
    <w:p>
      <w:r>
        <w:rPr>
          <w:b/>
        </w:rPr>
        <w:t>E. 2.4</w:t>
      </w:r>
    </w:p>
    <w:p>
      <w:r>
        <w:t>Die rechtlichen Erwägungen der Vorinstanz zur beruflichen Vorsorge und zu den geltenden Verfahrensgrundsätzen sind zutreffend (act. 84 S. 4 f. E. IV./1); sie werden von keiner Partei beanstandet. Folgendes ist hervorzuheben:</w:t>
      </w:r>
    </w:p>
    <w:p>
      <w:r>
        <w:rPr>
          <w:b/>
        </w:rPr>
        <w:t>E. 2.4.1</w:t>
      </w:r>
    </w:p>
    <w:p>
      <w:r>
        <w:t>Die während der Ehe bis zum Zeitpunkt der Einleitung des Scheidungsver- fahrens erworbenen Ansprüche aus der beruflichen Vorsorge werden bei der Scheidung hälftig geteilt (Art. 122 i.V.m. Art. 123 Abs. 1 ZGB). Gemäss Art. 123 Abs. 2 ZGB und Art. 22a Abs. 2 FZG sind von der hälftigen Teilung die während der Ehe getätigten Einkäufe in die Pensionskasse aus Mitteln des Eigenguts aus- genommen (BSK ZGB I-GEISER, Art. 123 N 16 ZGB).</w:t>
      </w:r>
    </w:p>
    <w:p>
      <w:r>
        <w:rPr>
          <w:b/>
        </w:rPr>
        <w:t>E. 2.4.2</w:t>
      </w:r>
    </w:p>
    <w:p>
      <w:r>
        <w:t>Im Scheidungsverfahren gilt im Bereich der beruflichen Vorsorge die einge- schränkte Untersuchungsmaxime (Art. 277 Abs. 3 ZPO). Das Gericht stellt den Sachverhalt grundsätzlich von Amtes wegen fest (Art. 55 Abs. 2 ZPO). Wie die Vor- instanz zutreffend hinwies, haben die Parteien jedoch auch unter der Geltung der eingeschränkten Untersuchungsmaxime eine aktive Mitwirkungspflicht (vgl. u.a. auch Botschaft, BBl 2006 7348). Diese enthebt die Parteien zwar von der subjekti- ven Beweislast oder Beweisführungslast, ändert aber nichts daran, dass sie dem</w:t>
      </w:r>
    </w:p>
    <w:p>
      <w:r>
        <w:t>- 9 - Gericht die nötigen Tatbestandselemente zu nennen und die verfügbaren Beweis- mittel einzureichen bzw. ihre Behauptungen soweit möglich zu belegen haben. Dies gilt insbesondere bei anwaltlich vertretenen Parteien (FamKomm Schei- dung/MEYER HONEGGER, Anh. ZPO 277 N 14; ZK ZPO-SUTTER-SOMM/GUT, Art. 277 ZPO N 19a, vgl. auch BGE 140 III 485 E. 3.3).</w:t>
      </w:r>
    </w:p>
    <w:p>
      <w:r>
        <w:rPr>
          <w:b/>
        </w:rPr>
        <w:t>E. 2.4.3</w:t>
      </w:r>
    </w:p>
    <w:p>
      <w:r>
        <w:t>Sind güterrechtlich relevante Investitionen strittig, sind die Leistungen aus einer bestimmten Gütermasse in eine andere sowie der tatsächliche Umfang der Leistungen zu belegen. Bei Investitionen durch Geldzahlungen ist nicht bloss der Vergleich der jeweiligen Vermögen oder eine Finanzierungsmöglichkeit darzutun, sondern es muss der Zahlungsfluss von der einen in die andere Gütermasse im Einzelfall belegt werden (BGE 138 III 193 E. 6.2; BGer 5A_618/2012 vom 27. Mai 2013 E. 5.3, BGer 5A_550/2019 vom 1. September 2020 E. 9.4; PHILIPP MAIER, SARA HAMPEL, Behauptungs- und Beweislast bei güterrechtlichen Auseinanderset- zungen in strittigen Scheidungsprozessen, in: FamPra.ch 2020 S. 951-981, S. 974 f.).</w:t>
      </w:r>
    </w:p>
    <w:p>
      <w:r>
        <w:rPr>
          <w:b/>
        </w:rPr>
        <w:t>E. 2.5</w:t>
      </w:r>
    </w:p>
    <w:p>
      <w:r>
        <w:t>Der Kläger vermag den zutreffenden Ausführungen der Vorinstanz mit seinen Einwänden nichts Wesentliches entgegenzusetzen. Der Einkauf erfolgte zwar nachweislich von seinem Privatkonto bei der H._____ (act. 27/5). Um aber als be- wiesen annehmen zu können, dass der Einkauf aus seinem Eigengut, namentlich aus dem Erlös des Verkaufs von G._____-Aktien, getätigt wurde, genügt es nicht darzutun, dass er ein Jahr zuvor über hinreichend Eigengut für die Kapitalzahlung verfügte. Vielmehr wäre der Zahlungsfluss aus dem Eigengut bzw. aus dem Erlös aus dem Aktienverkauf direkt zu belegen. Es nützt dem Kläger daher nichts, wenn er darauf hinweist, es seien ihm am 1. Oktober 2013 CHF 855'933.85, am 20. No- vember 2013 CHF 200'479.– und am 29. November 2013 nochmals CHF 48'004.74 aus dem Verkauf von G._____-Aktien auf sein Privatkonto zuge- flossen. Wohl sind diese Gutschriften durch drei Kontoauszüge belegt (act. 27/8- 10). Allerdings lassen sich den Kontoauszügen auch grosse Belastungen entneh- men. So flossen beispielsweise innert zweier Tage nach der Überweisung von CHF 855'933.85 insgesamt CHF 845'000.– wieder vom Konto ab (act. 27/8). Zu- dem fiel der Saldo des Kontos zwischen den Eingängen aus den Aktienverkäufen</w:t>
      </w:r>
    </w:p>
    <w:p>
      <w:r>
        <w:t>- 10 - teilweise deutlich unter CHF 20'000.–. Es ist aufgrund der lückenhaften Kontobe- lege insbesondere nicht erstellt, dass das Guthaben auf dem Privatkonto allein mit Erlösen aus den Aktienverkäufen generiert wurde. Um die Eigengutsqualität der Kapitaleinlage zu belegen, hätte der Kläger darlegen müssen, mit welchen Mitteln das Konto gespiesen wurde und wie sich der Kontostand seit der letzten Gutschrift aus Aktienverkauf vom 29. November 2013 bis zum Einkauf rund ein Jahr später entwickelte. Die Einkünfte der Parteien im Jahr 2013 beliefen sich gemäss Steuer- erklärung 2014 immerhin auf über CHF 360'000.–, wobei der Ertrag aus Wertschrif- ten CHF 194'189.– und das Erwerbseinkommen des Klägers CHF 118'814.– betru- gen (act. 33/19). Beide Einkünfte zählen gemäss Art. 197 Abs. 2 Ziff. 1 und 4 ZGB zur Errungenschaft des Klägers. Der Kläger macht weder explizit geltend noch be- legt er, dass sämtliche seiner Einkünfte ausschliesslich auf das gemeinsame Konto flossen, das nach seinen Angaben der Bestreitung des täglichen Unterhalts diente. Es ist daher durchaus denkbar, dass ein Teil der Einkünfte auf sein Privatkonto floss, was, wie die Vorinstanz bereits bemerkte (act. 84 S. 7 E. IV./5), dadurch er- härtet wird, dass diesem gemäss Kontoauszügen auch Kosten des täglichen Un- terhalts belastet wurden.</w:t>
      </w:r>
    </w:p>
    <w:p>
      <w:r>
        <w:rPr>
          <w:b/>
        </w:rPr>
        <w:t>E. 2.6</w:t>
      </w:r>
    </w:p>
    <w:p>
      <w:r>
        <w:t>Mit Verfügung vom 12. April 2022 forderte die Vorinstanz den Kläger auf, unter anderem die vollständigen Auszüge seines Privat- sowie seines Sparkontos bei der H._____ für die Jahre 2013 bzw. 2013 und 2014 einzureichen (act. 34). Dieser Auf- forderung ist der Kläger mit der Einreichung einzelner Belege nur lückenhaft nach- gekommen. Ob die Aufforderung im Hinblick auf die später unterbliebene Instrukti- onsverhandlung erfolgte, spielt keine Rolle, zumal dem anwaltlich vertretenen Klä- ger mit der Editionsaufforderung klar vor Augen geführt wurde, welche Belege das Gericht für die materielle Beurteilung benötigen würde. Der Rechtsvertreter des Klägers stellte ausserdem in seinem Schreiben vom 10. Mai 2022 ausdrücklich in Aussicht, die verlangten Unterlagen als Replikbeilagen "selbstverständlich" einzu- reichen (act. 36 a. E.), was jedoch unterblieb. Der (sinngemässe) Vorwurf, die Vor- instanz habe ihn nicht zur Einreichung der notwendigen Belege aufgefordert (act. 82 S. 9), ist damit unerheblich.</w:t>
      </w:r>
    </w:p>
    <w:p>
      <w:r>
        <w:t>- 11 -</w:t>
      </w:r>
    </w:p>
    <w:p>
      <w:r>
        <w:rPr>
          <w:b/>
        </w:rPr>
        <w:t>E. 2.7</w:t>
      </w:r>
    </w:p>
    <w:p>
      <w:r>
        <w:t>Mit der Vorinstanz ist nach dem Gesagten nicht erwiesen, dass der Kläger die Pensionskasseneinlage in der Höhe von CHF 51'600.– aus Mitteln seines Eigen- gutes bezahlte. Sein auszugleichendes Vorsorgeguthaben beträgt folglich CHF 155'729.76. Damit entfällt eine separate Berechnung der Zinsen auf dem Ein- kauf, so dass auf die entsprechenden Vorbringen des Klägers (act. 82 S. 11) nicht einzugehen ist.</w:t>
      </w:r>
    </w:p>
    <w:p>
      <w:r>
        <w:rPr>
          <w:b/>
        </w:rPr>
        <w:t>E. 3</w:t>
      </w:r>
    </w:p>
    <w:p>
      <w:r>
        <w:t>Am 8. April 2024 (Datum Poststempel) erhob der Kläger Berufung. Er verlangt im Wesentlichen eine Reduktion seiner Ausgleichszahlung aus der beruflichen Vor- sorge sowie eine güterrechtliche Ausgleichszahlung von der Beklagten im Umfang von CHF 172'490.15. Zudem beantragt er, die vorinstanzlichen Gerichtskosten seien je hälftig zu verlegen und die Parteientschädigungen seien wettzuschlagen (act. 82; vgl. im Einzelnen vorstehende Berufungsanträge). Die Akten der Vorin- stanz (act. 1-80) wurden von Amtes wegen beigezogen. Mit Präsidialverfügung vom 16. April 2024 delegierte die Vorsitzende die Prozessleitung an die Referentin und setzte dem Kläger Frist zur Leistung eines Kostenvorschusses von CHF 7'000.– an, der am 30. April 2024 bei der Obergerichtskasse einging (act. 85 und 88).</w:t>
      </w:r>
    </w:p>
    <w:p>
      <w:r>
        <w:rPr>
          <w:b/>
        </w:rPr>
        <w:t>E. 4</w:t>
      </w:r>
    </w:p>
    <w:p>
      <w:r>
        <w:t>Die Sache erweist sich sogleich als spruchreif. Auf Weiterungen, namentlich das Einholen einer Berufungsantwort, kann verzichtet werden (vgl. Art. 312 Abs. 1 ZPO).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