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LC230049 vom 4. Oktober 2024</w:t>
      </w:r>
    </w:p>
    <w:p>
      <w:r>
        <w:t>ZH Obergericht, 2024-10-04, DE</w:t>
      </w:r>
    </w:p>
    <w:p>
      <w:r>
        <w:rPr>
          <w:b/>
        </w:rPr>
        <w:t xml:space="preserve">Quelle: </w:t>
      </w:r>
      <w:r>
        <w:t>https://mcp.opencaselaw.ch/entscheid/zh_obergericht_LC230049</w:t>
      </w:r>
    </w:p>
    <w:p>
      <w:r>
        <w:t>FR: ZH_OBERGERICHT LC230049 du 4 octobre 2024</w:t>
      </w:r>
    </w:p>
    <w:p>
      <w:r>
        <w:t>IT: ZH_OBERGERICHT LC230049 del 4 ottobre 2024</w:t>
      </w:r>
    </w:p>
    <w:p>
      <w:pPr>
        <w:pStyle w:val="Heading2"/>
      </w:pPr>
      <w:r>
        <w:t>Erwägungen</w:t>
      </w:r>
    </w:p>
    <w:p>
      <w:r>
        <w:rPr>
          <w:b/>
        </w:rPr>
        <w:t>E. 1</w:t>
      </w:r>
    </w:p>
    <w:p>
      <w:r>
        <w:t>Die Parteien stellten beim Einzelgericht des Bezirksgerichts Winterthur (nachfolgend: Vorinstanz) am 12. Februar 2019 (Datum der Postaufgabe) ein ge- meinsames Scheidungsbegehren (Urk. 1).</w:t>
      </w:r>
    </w:p>
    <w:p>
      <w:r>
        <w:rPr>
          <w:b/>
        </w:rPr>
        <w:t>E. 2</w:t>
      </w:r>
    </w:p>
    <w:p>
      <w:r>
        <w:t>Am 8. April 2021 schlossen die Parteien vor der Vorinstanz eine Teilverein- barung über die Scheidungsfolgen (Urk. 39). Die Vorinstanz führte im Übrigen ein strittiges Verfahren über die Nebenfolgen der Scheidung durch. Mit dem eingangs angeführten Urteil vom 27. September 2023 sprach die Vorinstanz die Scheidung der Ehe der Parteien unter Regelung der Nebenfolgen aus (Genehmigung der Teilvereinbarung / im Übrigen Entscheid; vgl. Urk. 137 = Urk. 143, nachfolgend zi- tiert als Urk. 143).</w:t>
      </w:r>
    </w:p>
    <w:p>
      <w:r>
        <w:rPr>
          <w:b/>
        </w:rPr>
        <w:t>E. 2.1</w:t>
      </w:r>
    </w:p>
    <w:p>
      <w:r>
        <w:t>Die Parteien einigten sich in der Vereinbarung, welche sie am 17. Septem- ber 2024 unter Mitwirkung ihrer Rechtsvertreterinnen und der Gerichtsdelegation abschlossen (Urk. 168), in Ziff. 1.6 auf die Unterhaltszahlungen des Beklagten für die gemeinsamen Kinder C._____ (geb. tt. Oktober 2005), D._____ (geb. tt.mm.2007), E._____ (geb. tt.mm.2011) und F._____ (geb. tt.mm.2016). Die in- zwischen mündige Tochter C._____ trat ihre Unterhaltsansprüche gegen den Be- klagten am 13. Oktober 2023 an die Klägerin ab (Urk. 146/3). Die Unterhaltsbei- träge sind den finanziellen Verhältnissen der Familie angemessen. Insbesondere schöpfen die Parteien ihre Leistungsfähigkeit gemäss den in der Vereinbarung festgehaltenen Grundlagen der Unterhaltsberechnung angemessen aus; dass für eine beschränkte Zeit ein Manko resultiert (wenn auch in erheblich geringerem Umfang und für deutlich kürzere Zeit als gemäss dem angefochtenen Entscheid), ist hinzunehmen bzw. lässt sich nicht vermeiden. Der Geltungsbereich der Zah- lungsmodalitäten ist mit den Absprachen der Parteien im Nachgang zur Instrukti- onsverhandlung geklärt. Der Genehmigung der Vereinbarung über die Kinderun- terhaltsbeiträge steht aus der Optik des Kindeswohls nichts entgegen.</w:t>
      </w:r>
    </w:p>
    <w:p>
      <w:r>
        <w:t>- 14 -</w:t>
      </w:r>
    </w:p>
    <w:p>
      <w:r>
        <w:rPr>
          <w:b/>
        </w:rPr>
        <w:t>E. 2.2</w:t>
      </w:r>
    </w:p>
    <w:p>
      <w:r>
        <w:t>Die in Ziff. 1.7 der Vereinbarung enthaltene Feststellung, dass kein nach- ehelicher Unterhalt geschuldet ist, steht vor dem Hintergrund der Wiederverheira- tung der Klägerin (vgl. Urk. 164 S. 1 und Urk. 166/ 15). Sie ist ebenfalls zu geneh- migen.</w:t>
      </w:r>
    </w:p>
    <w:p>
      <w:r>
        <w:rPr>
          <w:b/>
        </w:rPr>
        <w:t>E. 2.3</w:t>
      </w:r>
    </w:p>
    <w:p>
      <w:r>
        <w:t>Die Vereinbarung vom 17. September 2024 ist daher vollumfänglich zu ge- nehmigen. Sie ist ins Dispositiv des vorliegenden Entscheids aufzunehmen (Art. 279 Abs. 3 ZPO). 3. Die Parteien erklärten sich ferner damit einverstanden, dass die Klausel über die Anpassung der Unterhaltsbeiträge an die Teuerung gerichtsüblich dahin- gehend zu aktualisieren sei, dass die Unterhaltsbeiträge auf dem Landesindex der Konsumentenpreise per Ende August 2024 beruhten und dass sie erstmals am 1. Januar 2026 an die Teuerung anzupassen seien (vgl. vorne Ziff. I./8.). III. 1. Die Vorinstanz setzte die Entscheidgebühr auf Fr. 6'000.– fest, auferlegte die Kosten den Parteien unter Hinweis auf die ihnen gewährte unentgeltliche Rechtspflege je zur Hälfte und sprach keine Parteientschädigungen zu (Urk. 143 S. 48, Dispositiv-Ziffern 10-12). Die Parteien stellten im Berufungsverfahren keine abweichenden Anträge zu den erstinstanzlichen Kosten- und Entschädigungsfol- gen, und es besteht keine Veranlassung, von Amtes wegen abweichend zu ent- scheiden. Die erstinstanzliche Kosten- und Entschädigungsregelung ist daher zu bestätigen. 2. Die Kosten des Berufungsverfahrens sind den Parteien vereinbarungsge- mäss je zur Hälfte aufzuerlegen, und vom gegenseitigen Verzicht der Parteien auf Parteientschädigung ist Vormerk zu nehmen. Die Entscheidgebühr für das Beru- fungsverfahren ist auf Fr. 2'500.– festzusetzen (§ 5 Abs. 1 und § 6 Abs. 2 lit. a i.V.m. § 12 Abs. 1 und 2 GebV OG). Die Kosten werden zufolge Gewährung der unentgeltlichen Rechtspflege einstweilen auf die Gerichtskasse genommen. Die Parteien werden auf die Nachzahlungspflicht nach Art. 123 ZPO hingewiesen.</w:t>
      </w:r>
    </w:p>
    <w:p>
      <w:r>
        <w:t>- 15 - Es wird erkannt: 1. Die Vereinbarung vom 17. September 2024 über die Scheidungsfolgen wird genehmigt. Sie lautet: "1. Die Parteien vereinbaren hinsichtlich der Dispositivziffern 6 und 7 des Scheidungsurteils des Einzelgerichts des Bezirksgerichts Winterthur vom 27. September 2023 (FE190047-K) und der dage- gen erhobenen Berufung der Klägerin / Anschlussberufung des Beklagten was folgt: 6. Der Beklagte verpflichtet sich, der Klägerin an den Unterhalt der gemeinsamen Kinder monatlich die folgenden Unter- haltsbeiträge zuzüglich allfälliger Kinder- bzw. Familienzula- gen zu bezahlen: Für C._____: - Fr. 490.– ab 1. Mai 2023 bis 31. Oktober 2023 (Phase 1) Für D._____: - Fr. 790.– ab 1. Mai 2023 bis 31. Oktober 2023 (Phase 1) - Fr. 520.– ab 1. November 2023 bis 30. Juni 2025 (Phase 2) - Fr. 340.– ab 1. Juli 2025 bis 31. August 2026 (als Volljähri- genunterhalt; Phase 3) Für E._____: - Fr. 730.– ab 1. Mai 2023 bis 31. Oktober 2023 (Phase 1) - Fr. 830.– ab 1. November 2023 bis 30. Juni 2025 (Phase 2) - Fr. 860.– ab 1. Juli 2025 bis 31. August 2026 (Phase 3) - Fr. 970.– ab 1. September 2026 bis 31. August 2028 (Phase 4) - Fr. 1'080.– ab 1. September 2028 bis zum Abschluss einer angemessenen Ausbildung (Phase 5) Erzielt das Kind einen Lehrlingslohn reduzieren sich die vor- stehenden Unterhaltsbeiträge um einen Drittel des erzielten monatlichen Nettolehrlingslohns. Für F._____: - Fr. 710.– ab 1. Mai 2023 bis 31. Oktober 2023 (Phase 1) - Fr. 1'230.– ab 1. November 2023 bis 30. Juni 2025 (davon Fr. 300.– Betreuungsunterhalt; Phase 2) - Fr. 1'140.– ab 1. Juli 2025 bis 31. August 2026 (davon Fr. 300.– Betreuungsunterhalt; Phase 3)</w:t>
      </w:r>
    </w:p>
    <w:p>
      <w:r>
        <w:t>- 16 - - Fr. 1'450.– ab 1. September 2026 bis 31. August 2028 (da- von Fr. 300.– Betreuungsunterhalt; Phase 4) - Fr. 1'000.– ab 1. September 2028 bis zum Abschluss einer angemessenen Ausbildung (Phase 5) Erzielt das Kind einen Lehrlingslohn reduzieren sich die vor- stehenden Unterhaltsbeiträge um einen Drittel des erzielten monatlichen Nettolehrlingslohns. Die Unterhaltsbeiträge und die Kinder- bzw. Familienzulagen sind an die Mutter zahlbar auf den Ersten eines jeden Mo- nats. Die Zahlungsmodalitäten gelten bis zur Volljährigkeit bzw. bei E._____ und F._____ bis zum Abschluss einer ange- messenen Erstausbildung auch über die Volljährigkeit hin- aus, solange die Kinder im Haushalt der Mutter leben und keine eigenen Ansprüche gegenüber dem Vater stellen bzw. keinen anderen Zahlungsempfänger bezeichnen. Mit den festgesetzten Unterhaltsbeiträgen ist der gebüh- rende Unterhalt der Kinder bis zum 30. Juni 2025 (Phase 1 und 2) nicht gedeckt. Zur Deckung des gebührenden Unter- halts fehlen monatlich die folgenden Beträge: - Phase 1: Fr. 360.–, davon Fr. 260.– Betreuungsunterhalt - Phase 2: Fr. 150.–, davon Fr. 150.– Betreuungsunterhalt 7. Es wird kein nachehelicher Unterhalt geschuldet. 2. Die vorliegende Vereinbarung beruht auf den folgenden Einkom- mens- und Vermögenszahlen der Parteien und der Kinder: Einkommen Klägerin netto: - Fr. 2'190.- (1. Mai 2023 bis 30. Juni 2025, 50%; Phasen 1 &amp; 2) - Fr.2'765.– (1. Juli 2025 bis 31. August 2028, 50%; Phasen 3 &amp; 4) - Fr. 4'425.– (ab 1. September 2028; 80%, Phase 5) Einkommen Beklagter netto: Fr. 5'900.– (100%; hypothetisch; Phasen 1-5) Einkommen C._____: - Fr. 250.– (Familienzulage) - Fr. 300.– (Anteil Lehrlingslohn) Einkommen D._____: - Fr. 250.– (Familienzulage) - Fr. 300.– (Anteil Lehrlingslohn ab 1. November 2023)</w:t>
      </w:r>
    </w:p>
    <w:p>
      <w:r>
        <w:t>- 17 - Einkommen E._____: - Fr. 250.– (Familienzulage) Einkommen F._____: - Fr. 200.– (Familienzulage; ab 1. Februar 2028: Fr. 250.–) Vermögen Parteien und Kinder: Fr. 0.– 3. Die Parteien übernehmen die Gerichtskosten des Berufungsver- fahrens vor Obergericht je zur Hälfte, unter Hinweis auf die bei- den Parteien bewilligte unentgeltliche Rechtspflege, und verzich- ten gegenseitig auf eine Parteientschädigung. 4. Die Parteien beantragen dem Gericht die Genehmigung der vor- liegenden Vereinbarung und die Abschreibung des Berufungsver- fahrens LC230049-O." 2. Die Unterhaltsbeiträge gemäss Ziffer 1.1.6 basieren auf dem Landesindex der Konsumentenpreise des Bundesamtes für Statistik, Stand Ende August 2024 von 107.5 Punkten (Basis Dezember 2020 = 100 Punkte). Sie sind je- weils auf den 1. Januar eines jeden Jahres, erstmals auf den 1. Januar 2026, dem Stand des Indexes per Ende November des Vorjahres anzupas- sen. Die Anpassung erfolgt nach folgender Formel: alter Unterhaltsbeitrag x neuer Index Neuer Unterhaltsbeitrag = 107.5 Weist die zu Unterhaltsleistungen verpflichtete Partei nach, dass sich ihr Einkommen nicht im Umfange der Teuerung erhöht, so werden die Unter- haltsbeiträge gemäss Ziffer 1.1.6 nur proportional zur tatsächlichen Einkom- menssteigerung angepasst. Fällt der Index unter den Stand von Ende August 2024, berechtigt dies nicht zu einer Herabsetzung der Unterhaltsbeiträge. 3. Die Dispositivziffern 10 bis 12 des Urteils vom 27. September 2023 werden bestätigt. 4. Die zweitinstanzliche Gerichtsgebühr wird festgesetzt auf Fr. 2'500.–. 5. Die Kosten des Berufungsverfahrens werden den Parteien je zur Hälfte auf- erlegt, zufolge Gewährung der unentgeltlichen Rechtspflege indessen einst-</w:t>
      </w:r>
    </w:p>
    <w:p>
      <w:r>
        <w:t>- 18 - weilen auf die Gerichtskasse genommen. Die Parteien werden auf die Nach- zahlungspflicht gemäss Art. 123 ZPO hingewiesen. 6. Schriftliche Mitteilung an die Parteien, an die Beiständin H._____, kjz Win- terthur, sowie an die Vorinstanz, je gegen Empfangsschein. Die erstinstanzlichen Akten gehen nach unbenütztem Ablauf der Rechtsmit- telfrist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übersteigt Fr. 30'000.–. Die Beschwerde an das Bundesgericht hat keine aufschiebende Wirkung. Hinsichtlich des Fristenlaufs gelten die Art. 44 ff. BGG. Zürich, 4. Oktober 2024 Obergericht des Kantons Zürich I. Zivilkammer Der Vorsitzende: Die Gerichtsschreibern: lic. iur. A. Huizinga MLaw I. Aeberhard versandt am: lm</w:t>
      </w:r>
    </w:p>
    <w:p>
      <w:r>
        <w:rPr>
          <w:b/>
        </w:rPr>
        <w:t>E. 3</w:t>
      </w:r>
    </w:p>
    <w:p>
      <w:r>
        <w:t>Die Klägerin, Berufungsklägerin und Anschlussberufungsbeklagte (nachfol- gend: Klägerin) erhob mit Eingabe vom 1. November 2023 rechtzeitig Berufung</w:t>
      </w:r>
    </w:p>
    <w:p>
      <w:r>
        <w:t>- 10 - gegen das Urteil vom 27. September 2023 und stellte die eingangs angeführten Berufungsanträge (Urk. 142; zur Wahrung der Berufungsfrist vgl. Urk. 139).</w:t>
      </w:r>
    </w:p>
    <w:p>
      <w:r>
        <w:rPr>
          <w:b/>
        </w:rPr>
        <w:t>E. 4</w:t>
      </w:r>
    </w:p>
    <w:p>
      <w:r>
        <w:t>Der Beklagte, Berufungsbeklagte und Anschlussberufungskläger (nachfol- gend: Beklagter) erstattete fristgerecht mit Eingabe vom 7. März 2024 die Beru- fungsantwort. Er stellte die eingangs angeführten Berufungsanträge und erhob Anschlussberufung (Urk. 149; zur Rechtzeitigkeit vgl. Urk. 148).</w:t>
      </w:r>
    </w:p>
    <w:p>
      <w:r>
        <w:rPr>
          <w:b/>
        </w:rPr>
        <w:t>E. 5</w:t>
      </w:r>
    </w:p>
    <w:p>
      <w:r>
        <w:t>Mit Beschluss vom 6. Mai 2024 wurde beiden Parteien die unentgeltliche Rechtspflege gewährt mit Bestellung ihrer Rechtsvertreterinnen als unentgeltliche Rechtsbeiständinnen. Gleichzeitig wurde der Klägerin Frist angesetzt, um die An- schlussberufung zu beantworten, und wurde von der Teilrechtskraft des Urteils vom 27. September 2023 Vormerk genommen (Urk. 152).</w:t>
      </w:r>
    </w:p>
    <w:p>
      <w:r>
        <w:rPr>
          <w:b/>
        </w:rPr>
        <w:t>E. 6</w:t>
      </w:r>
    </w:p>
    <w:p>
      <w:r>
        <w:t>Die Anschlussberufungsantwort der Klägerin datiert vom 14. Juni 2024 (Urk. 158); auch diese Eingabe erfolgte fristgerecht (vgl. Urk. 152).</w:t>
      </w:r>
    </w:p>
    <w:p>
      <w:r>
        <w:rPr>
          <w:b/>
        </w:rPr>
        <w:t>E. 7</w:t>
      </w:r>
    </w:p>
    <w:p>
      <w:r>
        <w:t>Es wird kein nachehelicher Unterhalt geschuldet. 2. Die vorliegende Vereinbarung beruht auf den folgenden Einkom- mens- und Vermögenszahlen der Parteien und der Kinder: Einkommen Klägerin netto: - Fr. 2'190.- (1. Mai 2023 bis 30. Juni 2025, 50%; Phasen 1 &amp; 2) - Fr.2'765.– (1. Juli 2025 bis 31. August 2028, 50%; Phasen 3 &amp; 4) - Fr. 4'425.– (ab 1. September 2028; 80%, Phase 5) Einkommen Beklagter netto: Fr. 5'900.– (100%; hypothetisch; Phasen 1-5) Einkommen C._____: - Fr. 250.– (Familienzulage) - Fr. 300.– (Anteil Lehrlingslohn) Einkommen D._____: - Fr. 250.– (Familienzulage) - Fr. 300.– (Anteil Lehrlingslohn ab 1. November 2023) Einkommen E._____: - Fr. 250.– (Familienzulage) Einkommen F._____: - Fr. 200.– (Familienzulage; ab 1. Februar 2028: Fr. 250.–) Vermögen Parteien und Kinder: Fr. 0.– 3. Die Parteien übernehmen die Gerichtskosten des Berufungsver- fahrens vor Obergericht je zur Hälfte, unter Hinweis auf die bei- den Parteien bewilligte unentgeltliche Rechtspflege, und verzich- ten gegenseitig auf eine Parteientschädigung. 4. Die Parteien beantragen dem Gericht die Genehmigung der vor- liegenden Vereinbarung und die Abschreibung des Berufungsver- fahrens LC230049-O."</w:t>
      </w:r>
    </w:p>
    <w:p>
      <w:r>
        <w:rPr>
          <w:b/>
        </w:rPr>
        <w:t>E. 8</w:t>
      </w:r>
    </w:p>
    <w:p>
      <w:r>
        <w:t>Im Nachgang zur Instruktionsverhandlung bestätigten die Parteien gegen- über dem Referenten am 3. Oktober 2024, dass auch der vereinbarte Volljähri- genunterhalt für D._____ (gleich wie bei den jüngeren Geschwistern) an die Mut- ter zu bezahlen sei, solange D._____ im Haushalt der Mutter lebt und keine eige-</w:t>
      </w:r>
    </w:p>
    <w:p>
      <w:r>
        <w:t>- 13 - nen Ansprüche gegenüber dem Vater stellt bzw. keinen anderen Zahlungsemp- fänger bezeichnet. Ferner erklärten sie sich mit einer Aktualisierung der Index- klausel (Dispositiv-Ziffer 8 des angefochtenen Urteils) einverstanden, wonach die Unterhaltsbeiträge auf dem Landesindex der Konsumentenpreise per Ende Au- gust 2024 basieren und per 1. Januar 2026 erstmals an die Teuerung anzupas- sen sind (Prot. S. 14, Urk. 169 f.). II. 1. Das Gericht genehmigt die Vereinbarung über die Scheidungsfolgen in An- wendung von Art. 279 Abs. 1 ZGB. Geht es um Kinderbelange, so gilt die Offizial- maxime (Art. 296 Abs. 1 sowie Abs. 3 ZPO) und das Gericht prüft die Vereinba- rung der Parteien (im Sinne eines gemeinsamen Antrags) uneingeschränkt auf ihre Übereinstimmung mit den Kindesinteressen (FamKomm Scheidung-Stein, Anh ZPO, Art. 279 N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