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LC230046 vom 7. Mai 2024</w:t>
      </w:r>
    </w:p>
    <w:p>
      <w:r>
        <w:t>ZH Obergericht, 2024-05-07, DE</w:t>
      </w:r>
    </w:p>
    <w:p>
      <w:r>
        <w:rPr>
          <w:b/>
        </w:rPr>
        <w:t xml:space="preserve">Quelle: </w:t>
      </w:r>
      <w:r>
        <w:t>https://mcp.opencaselaw.ch/entscheid/zh_obergericht_LC230046</w:t>
      </w:r>
    </w:p>
    <w:p>
      <w:r>
        <w:t>FR: ZH_OBERGERICHT LC230046 du 7 mai 2024</w:t>
      </w:r>
    </w:p>
    <w:p>
      <w:r>
        <w:t>IT: ZH_OBERGERICHT LC230046 del 7 maggio 2024</w:t>
      </w:r>
    </w:p>
    <w:p>
      <w:pPr>
        <w:pStyle w:val="Heading2"/>
      </w:pPr>
      <w:r>
        <w:t>Erwägungen</w:t>
      </w:r>
    </w:p>
    <w:p>
      <w:r>
        <w:rPr>
          <w:b/>
        </w:rPr>
        <w:t>E. 1</w:t>
      </w:r>
    </w:p>
    <w:p>
      <w:r>
        <w:t>Die Parteien haben am tt.mm.2014 in Zürich geheiratet (act. 21/1). Am glei- chen Tag ist die gemeinsame Tochter C._____ auf die Welt gekommen. Zwei Jahre später brachte A._____, die Klägerin und Berufungsklägerin, die zweite ge- meinsame Tochter, D._____, geboren tt.mm.2016, auf die Welt. Seit dem 28. Au- gust 2016 leben die Parteien getrennt und stehen seit April 2017 in einem stritti- gen Scheidungsprozess, nachdem sie sich zuvor in zwei Eheschutzverfahren ge- genüberstanden. Mit Urteil des Bezirksgerichts Dielsdorf, Einzelgericht im ordent- lichen Verfahren, vom 4. September 2023 wurde die Ehe der Parteien geschie- den, und es wurden die Nebenfolgen geregelt (act. 233 = act. 251 = act. 252 [OG- Exemplar]). Die Vorinstanz ging im Ergebnis von Kinderunterhaltsbeiträgen aus in der Höhe der IV-Kinderrenten von monatlich Fr. 862.-- und der monatlichen Fami- lienzulagen von Fr. 200.-- bzw. 250.--, jeweils für jedes der beiden Kinder (act. 251 S. 23 f.). Im Übrigen hielt die Vorinstanz fest, dass mangels Leistungsfähig- keit des Beklagten keine (Kinder-)Unterhaltsbeiträge festgesetzt werden könne und hielt Mankobeträge fest (act. 252 S. 42 f. Dispositivziffer 9; Mankobeträge der Kinder im Bereich von Fr. 186.-- bis Fr. 449.--; act. 252 S. 43 Dispositivziffer 10./5. [mangels Leistungsfähigkeit kein nachehelicher Unterhalt]). Die IV-Kinderrenten aus 2. Säule berücksichtigte die Vorinstanz im Urteil nicht, weil keine entsprechende Auskunft des Versicherers E._____ AG vorliegen würde und angesichts der langen Verfahrensdauer ein weiteres Zuwarten nicht opportun sei (act. 251 S. 23). Dagegen führt die Berufungsklägerin und Klägerin (nachfol- gend: Klägerin) mit Eingabe vom 23. Oktober 2023 rechtzeitig Berufung (act. 248 i.V.m. act. 242/1) und beantragt sinngemäss die Überweisung der IV-Kinderrenten aus 2. Säule für die beiden Kinder an sie, unter Offenlegung der IV-Rente aus 2. Säule, die der Berufungsbeklagte und Beklagte (nachfolgend: Beklagter) für sich bezieht (act. 248 S. 2). Zugleich stellt die Klägerin die vorne wiedergegebenen prozessualen Anträge (act. 248 S. 2 f.). In der Folge wurde der Beizug der vorinstanzlichen Akten samt den Akten der Eheschutzverfahren (Bezirksgericht Uster, EE160105, act. 5, und Bezirksgericht Dielsdorf, EE170019, act. 6) veranlasst (act. 1-act. 246).</w:t>
      </w:r>
    </w:p>
    <w:p>
      <w:r>
        <w:t>- 10 -</w:t>
      </w:r>
    </w:p>
    <w:p>
      <w:r>
        <w:rPr>
          <w:b/>
        </w:rPr>
        <w:t>E. 2</w:t>
      </w:r>
    </w:p>
    <w:p>
      <w:r>
        <w:t>Bei diesem Ausgang des Verfahrens sind die Gerichtskosten den Parteien je zur Hälfte aufzuerlegen, weil der Anspruch auf Überweisung der IV-Kinderrenten aus 2. Säule unbestritten ist und beide Parteien die berechtigten Interesse ihrer gemeinsamen Kinder wahrgenommen haben (Art. 107 Abs. 1 lit. c ZPO). Partei- entschädigungen sind entsprechend keine zuzusprechen (Art. 106 Abs. 2 ZPO).</w:t>
      </w:r>
    </w:p>
    <w:p>
      <w:r>
        <w:rPr>
          <w:b/>
        </w:rPr>
        <w:t>E. 3</w:t>
      </w:r>
    </w:p>
    <w:p>
      <w:r>
        <w:t>Das Gesuch der Klägerin und Berufungsklägerin um unentgeltliche Rechts- pflege wird bewilligt und es wird der Klägerin und Berufungsklägerin in der Person von Rechtsanwältin MLaw X._____, H._____ Rechtsanwälte, Zürich, eine unentgeltliche Rechtsvertreterin bestellt. Die Klägerin wird ausdrücklich auf das Nachforderungsrecht der Gerichtskasse gemäss Art. 123 ZPO auf- merksam gemacht.</w:t>
      </w:r>
    </w:p>
    <w:p>
      <w:r>
        <w:rPr>
          <w:b/>
        </w:rPr>
        <w:t>E. 4</w:t>
      </w:r>
    </w:p>
    <w:p>
      <w:r>
        <w:t>Die zweitinstanzliche Entscheidgebühr wird auf Fr. 800.-- festgesetzt und den Parteien je zur Hälfte auferlegt, der der Klägerin und Berufungsklägerin auferlegte Anteil wird einstweilen auf die Gerichtskasse genommen. Die Klä- gerin und Berufungsklägerin wird ausdrücklich auf Art. 123 ZPO aufmerk- sam gemacht.</w:t>
      </w:r>
    </w:p>
    <w:p>
      <w:r>
        <w:rPr>
          <w:b/>
        </w:rPr>
        <w:t>E. 5</w:t>
      </w:r>
    </w:p>
    <w:p>
      <w:r>
        <w:t>Die Parteientschädigungen werden wettgeschlagen.</w:t>
      </w:r>
    </w:p>
    <w:p>
      <w:r>
        <w:rPr>
          <w:b/>
        </w:rPr>
        <w:t>E. 6</w:t>
      </w:r>
    </w:p>
    <w:p>
      <w:r>
        <w:t>Schriftliche Mitteilung an die Parteien, an den Beklagten und Berufungsbe- klagten unter Beilage eines Doppels von act. 268, im Dispositivauszug Zif- fern 1 und 2 des Urteils an die Pensionskasse E._____, … [Adresse], und an das Bezirksgericht Dielsdorf, je gegen Empfangsschein.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w:t>
      </w:r>
    </w:p>
    <w:p>
      <w:r>
        <w:t>- 16 -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