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LC230030 vom 28. Dezember 2023</w:t>
      </w:r>
    </w:p>
    <w:p>
      <w:r>
        <w:t>ZH Obergericht, 2023-12-28, DE</w:t>
      </w:r>
    </w:p>
    <w:p>
      <w:r>
        <w:rPr>
          <w:b/>
        </w:rPr>
        <w:t xml:space="preserve">Quelle: </w:t>
      </w:r>
      <w:r>
        <w:t>https://mcp.opencaselaw.ch/entscheid/zh_obergericht_LC230030</w:t>
      </w:r>
    </w:p>
    <w:p>
      <w:r>
        <w:t>FR: ZH_OBERGERICHT LC230030 du 28 décembre 2023</w:t>
      </w:r>
    </w:p>
    <w:p>
      <w:r>
        <w:t>IT: ZH_OBERGERICHT LC230030 del 28 dicembre 2023</w:t>
      </w:r>
    </w:p>
    <w:p>
      <w:pPr>
        <w:pStyle w:val="Heading2"/>
      </w:pPr>
      <w:r>
        <w:t>Erwägungen</w:t>
      </w:r>
    </w:p>
    <w:p>
      <w:r>
        <w:rPr>
          <w:b/>
        </w:rPr>
        <w:t>E. 1</w:t>
      </w:r>
    </w:p>
    <w:p>
      <w:r>
        <w:t>Die Parteien sind die Eltern von C._____, geboren am tt. Januar 2006, D._____, geboren am tt.mm.2007, und E._____, geboren am tt.mm.2010. Die Ehe der Parteien wurde mit Urteil des Bezirksgerichts Winterthur vom 10. April 2012 geschieden. Dabei wurden die drei Kinder entsprechend der Vereinbarung der Parteien unter die alleinige elterliche Sorge der Beklagten und unter deren al- leinige Obhut gestellt. Der Kläger wurde berechtigt erklärt, die beiden Töchter ein Wochenende pro Monat zu sich auf Besuch zu nehmen. Zudem wurde ihm ein Ferien- und ein Feiertagsbesuchsrecht eingeräumt. Hinsichtlich des Sohnes E._____ erhielt der Kläger zunächst ein stundenweises Besuchsrecht und ab Ja- nuar 2014 das gleiche Besuchsrecht wie bei den Töchtern, ausgenommen das Ferienbesuchsrecht, welches erst ab 2015 gelten sollte. Weiter wurde der Kläger verpflichtet, für die drei Kinder ab 1. April 2012 je Fr. 333.–, ab Januar 2013 je Fr. 500.– und jeweils ab dem 9. Altersjahr jedes Kindes bis zum Abschluss einer an- gemessenen Ausbildung je Fr. 650.– Unterhaltsbeiträge zu bezahlen. Der Verein- barung wurde ein hypothetisches Einkommen des Klägers von Fr. 4'500.– und kein Einkommen der Beklagten sowie ein Bedarf des Klägers von Fr. 2'800.– und ein solcher der Beklagten von Fr. 4'300.– zugrunde gelegt (Urk. 4/37).</w:t>
      </w:r>
    </w:p>
    <w:p>
      <w:r>
        <w:rPr>
          <w:b/>
        </w:rPr>
        <w:t>E. 2</w:t>
      </w:r>
    </w:p>
    <w:p>
      <w:r>
        <w:t>Mit Eingabe vom 11. Oktober 2021 machte der Kläger bei der Vorinstanz eine Klage auf Abänderung des Scheidungsurteils anhängig und stellte in der Sa- che die eingangs zitierten Anträge (Urk. 1). Der Verfahrensverlauf vor Vorinstanz kann dem angefochtenen Entscheid entnommen werden (Urk. 113 S. 3 f.). Mit Verfügung vom 27. Juli 2023 nahm die Vorinstanz eine Berichtigung des Proto- kolls vor und wies im Übrigen das Protokollberichtigungsbegehren des Klägers ab. Mit Urteil gleichen Datums trat die Vorinstanz bezüglich einzelner Rechtsbe- gehren auf die Abänderungsklage nicht ein und wies diese im Übrigen wie auch</w:t>
      </w:r>
    </w:p>
    <w:p>
      <w:r>
        <w:t>- 14 - die prozessualen Anträge des Klägers ab (Urk. 113 S. 22 f.). Dieser erhob mit Eingabe vom 12. August 2023 fristgerecht Berufung gegen die Verfügung und das Urteil und stellte die eingangs zitierten Anträge (Urk. 112). Die Vorinstanz belehrte die Beschwerde als Rechtsmittel gegen den Protokollberichtigungsentscheid, was richtig ist, wenn dieser während laufendem Verfahren gesondert angefochten wird, doch kann er im Rahmen des Hauptrechtsmittels zusammen mit dem End- entscheid mitangefochten werden (BSK ZPO-Willisegger, Art. 235 N 48 f.). Mit Beschluss vom 29. August 2023 wurde auf die Ausstandsgesuche des Klägers gegen die Oberrichter lic. iur. F._____ und Dr. G._____ sowie Ersatzoberrichterin lic. iur. H._____ in Antrag 2 seiner Rechtsschrift nicht eingetreten und dem Kläger Frist angesetzt, um einen Vorschuss von Fr. 3'000.– zu bezahlen (Urk. 116 S. 3). Mit Eingabe vom 6. September 2023 stellte der Kläger ein Gesuch um Gewäh- rung der unentgeltlichen Rechtspflege (Urk. 117). Hierauf wurde die Frist zur Leis- tung des Gerichtskostenvorschusses mit Verfügung vom 7. September 2023 ab- genommen (Urk. 119).</w:t>
      </w:r>
    </w:p>
    <w:p>
      <w:r>
        <w:rPr>
          <w:b/>
        </w:rPr>
        <w:t>E. 3</w:t>
      </w:r>
    </w:p>
    <w:p>
      <w:r>
        <w:t>Der Kläger verlangt, es sei abzuklären, ob die Vorinstanz die von ihm be- antragten Fragen an die Kinder gestellt habe oder nicht (Antrag 44; Urk. 112 S. 19). Die Vorinstanz hat die drei Kinder der Parteien am 16. März 2023 ange- hört. Alle drei Kinder erklärten, dass sie keine Protokollierung des Gesprächs wünschten (Prot. I S. 35 f.). Zu Beginn der Anhörung hatte der Vorderrichter den Kindern erklärt, der Inhalt des Gesprächs werde in einer Zusammenfassung auf- geschrieben. Die Kinder hätten das Recht zu sagen, wenn etwas nicht aufge- schrieben oder den Parteien nicht mitgeteilt werden sollte. Folgerichtig verzichtete die Vorinstanz auf eine Protokollierung und fanden die Aussagen keinen Eingang in die Entscheidfindung (vgl. Pfänder Baumann, DIKE-Komm-ZPO, Art. 298 N 12; FamKomm Scheidung/Schweighauser, Anh ZPO, Art. 298 N 33). Welche Fragen an die Kinder gestellt wurden, ist daher nicht aktenkundig. Zudem haben die Par- teien keine Möglichkeit, Ergänzungsfragen zu stellen (BGer 5A_88/2015 vom</w:t>
      </w:r>
    </w:p>
    <w:p>
      <w:r>
        <w:rPr>
          <w:b/>
        </w:rPr>
        <w:t>E. 5</w:t>
      </w:r>
    </w:p>
    <w:p>
      <w:r>
        <w:t>Für das zweitinstanzliche Verfahren werden keine Parteientschädigungen zugesprochen.</w:t>
      </w:r>
    </w:p>
    <w:p>
      <w:r>
        <w:t>- 35 -</w:t>
      </w:r>
    </w:p>
    <w:p>
      <w:r>
        <w:rPr>
          <w:b/>
        </w:rPr>
        <w:t>E. 6</w:t>
      </w:r>
    </w:p>
    <w:p>
      <w:r>
        <w:t>Schriftliche Mitteilung an die Parteien, an die Beklagte unter Beilage der Doppel von Urk. 112 und 114/A-D, 1-2, sowie an die Vorinstanz, je gegen Empfangsschein. Die erstinstanzlichen Akten gehen nach unbenütztem Ablauf der Rechtsmit- telfrist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28. Dezember 2023 Obergericht des Kantons Zürich I. Zivilkammer Der Vorsitzende: Der Gerichtsschreiber: lic. iur. A. Huizinga Dr. M. Nietlispach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