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LC230008 vom 7. Juli 2023</w:t>
      </w:r>
    </w:p>
    <w:p>
      <w:r>
        <w:t>ZH Obergericht, 2023-07-07, DE</w:t>
      </w:r>
    </w:p>
    <w:p>
      <w:r>
        <w:rPr>
          <w:b/>
        </w:rPr>
        <w:t xml:space="preserve">Quelle: </w:t>
      </w:r>
      <w:r>
        <w:t>https://mcp.opencaselaw.ch/entscheid/zh_obergericht_LC230008</w:t>
      </w:r>
    </w:p>
    <w:p>
      <w:r>
        <w:t>FR: ZH_OBERGERICHT LC230008 du 7 juillet 2023</w:t>
      </w:r>
    </w:p>
    <w:p>
      <w:r>
        <w:t>IT: ZH_OBERGERICHT LC230008 del 7 luglio 2023</w:t>
      </w:r>
    </w:p>
    <w:p>
      <w:pPr>
        <w:pStyle w:val="Heading2"/>
      </w:pPr>
      <w:r>
        <w:t>Erwägungen</w:t>
      </w:r>
    </w:p>
    <w:p>
      <w:r>
        <w:rPr>
          <w:b/>
        </w:rPr>
        <w:t>E. 1</w:t>
      </w:r>
    </w:p>
    <w:p>
      <w:r>
        <w:t>Der Kläger und Berufungskläger (fortan: Kläger) und die Beklagte und Beru- fungsbeklagte (fortan: Beklagte) wurden mit Urteil des Einzelgerichts des Bezirks- gerichts Dielsdorf vom 27. März 2019 geschieden (act. 4/1). Mit Eingabe vom 31. März 2020 reichte der Kläger beim Einzelgericht des Bezirksgerichts Dielsdorf (Vorinstanz) eine Klage betreffend Abänderung des Scheidungsurteils ein und beantragte die Anordnung vorsorglicher Massnahmen (act. 1). Am 16. Juli 2020 wurden die Einigungsverhandlung und eine Verhandlung betreffend vorsorgliche Massnahmen durchgeführt (Prot. VI S. 4 f.). Mit Eingabe vom 6. August 2020 zog der Kläger sein Begehren auf Anordnung vorsorglicher Massnahmen zurück (act. 16). In der Hauptsache wurde ein zweifacher Schriftenwechsel durchgeführt, mit Klageantwort vom 15. Dezember 2020 (act. 24), Replik vom 22. Mai 2021 (act. 31) und Duplik vom 4. Oktober 2021 (act. 37). Es folgten eine Stellungnahme des Klägers vom 16. November 2021 (act. 40) und eine Eingabe der Beklagten vom 2. Dezember 2021 (act. 42). Am 27. Dezember 2022 erging das Urteil der Vorinstanz (act. 43 = act. 47/1 = act. 48 [Aktenexemplar]).</w:t>
      </w:r>
    </w:p>
    <w:p>
      <w:r>
        <w:rPr>
          <w:b/>
        </w:rPr>
        <w:t>E. 1.1</w:t>
      </w:r>
    </w:p>
    <w:p>
      <w:r>
        <w:t>Die Vorinstanz hat die Voraussetzungen für eine Abänderung von nachehe- lichen Unterhaltsbeiträgen und von Kindesunterhaltsbeiträgen sowie die bei der Prüfung eines Abänderungsbegehrens anzuwendende Methodik wiedergegeben (act. 48 S. 13 ff.). Darauf kann grundsätzlich verwiesen werden. Hervorzuheben ist, was folgt.</w:t>
      </w:r>
    </w:p>
    <w:p>
      <w:r>
        <w:rPr>
          <w:b/>
        </w:rPr>
        <w:t>E. 1.2</w:t>
      </w:r>
    </w:p>
    <w:p>
      <w:r>
        <w:t>Die Abänderung von Unterhaltsbeiträgen setzt voraus, dass sich die Ver- hältnisse erheblich verändern (Art. 129 Abs. 1 ZGB; Art. 286 Abs. 2 ZGB), d.h. wichtige und dauerhafte neue Tatsachen eintreten, die eine andere Regelung ge- bieten. Das Abänderungsverfahren hat nicht zum Ziel, das erste Urteil zu korrigie- ren. Es bezweckt nicht eine Revision des Scheidungsurteils, sondern eine Anpas- sung des rechtskräftigen Urteils an die neuen Umstände. Eine Tatsache ist neu, wenn sie bei der Festlegung des Unterhaltsbeitrags im Scheidungsurteil nicht be- rücksichtigt wurde. Entscheidend ist nicht die Vorhersehbarkeit der neuen Um-</w:t>
      </w:r>
    </w:p>
    <w:p>
      <w:r>
        <w:t>- 20 - stände, sondern ausschliesslich die Tatsache, dass der Unterhaltsbeitrag ohne Berücksichtigung dieser zukünftigen Umstände festgelegt wurde. Der entschei- dende Zeitpunkt für die Beurteilung, ob neue Umstände eingetreten sind, ist der Zeitpunkt der Einreichung des Antrags auf Änderung des Scheidungsurteils. Für die Bestimmung des Einkommens und seiner voraussichtlichen Entwicklung ist somit auf diesen Zeitpunkt abzustellen (zum Ganzen BGE 137 III 604 E. 3.3.1 u. 4.1.1; BGE 138 III 289 E. 11.1.1; BGer 5A_230/2019 vom 31. Januar 2020 E. 6.1; BGer 5A_98/2016 vom 25. Juni 2018 E. 2.3; BGer 5A_35/2018 vom 31. Mai 2018 E. 3.1). Beruht eine Unterhaltsregelung in einem Scheidungsurteil auf einer zwi- schen den Parteien geschlossenen Vereinbarung, kann gemäss der bundesge- richtlichen Rechtsprechung eine "Anpassung nur verlangt werden, wenn erhebli- che tatsächliche Änderungen Teile des Sachverhalts betreffen, welche im Zeit- punkt der Vereinbarung als feststehend angesehen wurden. Keine Anpassung an wesentlich und dauernd veränderte Verhältnisse gibt es hingegen bezüglich Tat- sachen, welche vergleichsweise definiert worden sind, um eine ungewisse Sach- lage zu bewältigen (sog. caput controversum), zumal hier eine Referenzgrösse fehlt, an welcher die Erheblichkeit einer allfälligen Veränderung gemessen werden könnte. Vorbehalten bleiben neue Tatsachen, die klarerweise ausserhalb des Spektrums der künftigen Entwicklungen liegen, welche aus Sicht der Vergleichs- parteien möglich (wenn auch ungewiss) erschienen" (BGE 142 III 518 E. 2.6.1).</w:t>
      </w:r>
    </w:p>
    <w:p>
      <w:r>
        <w:rPr>
          <w:b/>
        </w:rPr>
        <w:t>E. 1.3</w:t>
      </w:r>
    </w:p>
    <w:p>
      <w:r>
        <w:t>Stellt das Gericht fest, dass sich die Verhältnisse aufgrund neuer Tatsachen erheblich und dauerhaft verändert haben, hat es sämtliche Elemente, die das Scheidungsgericht in Betracht gezogen hat, zu aktualisieren. Dabei sind auch je- ne Veränderungen zu berücksichtigen, die für sich alleine keine Abänderung zu rechtfertigen vermöchten (BGE 138 III 289 E. 11.1.1 f.; BGer 5A_874/2019 vom 22. Juni 2020 E. 3.2).</w:t>
      </w:r>
    </w:p>
    <w:p>
      <w:r>
        <w:rPr>
          <w:b/>
        </w:rPr>
        <w:t>E. 1.4</w:t>
      </w:r>
    </w:p>
    <w:p>
      <w:r>
        <w:t>Schliesslich sind die dem Scheidungsurteil zu Grunde liegenden Verhältnis- se den aktualisierten Verhältnissen gegenüberzustellen und es ist zu beurteilen, ob eine hinreichend bedeutende Veränderung der Verhältnisse gegeben ist, um eine Neuverteilung der Unterhaltslasten zu rechtfertigen (BGer 5A_18/2016 vom 24. November 2016 E. 2.4). Eine Neufestsetzung der Unterhaltspflicht ist nur vor-</w:t>
      </w:r>
    </w:p>
    <w:p>
      <w:r>
        <w:t>- 21 - zunehmen, wenn ansonsten mit Blick auf das Scheidungsurteil ein unzumutbares Ungleichgewicht zwischen den involvierten Personen entstehen könnte (BGer 5A_35/2018 vom 31. Mai 2018 E. 3.1). 2.</w:t>
      </w:r>
    </w:p>
    <w:p>
      <w:r>
        <w:rPr>
          <w:b/>
        </w:rPr>
        <w:t>E. 2</w:t>
      </w:r>
    </w:p>
    <w:p>
      <w:r>
        <w:t>Mit Eingabe vom 14. Februar 2023 erhob der Kläger Berufung mit den ein- gangs wiedergegebenen Anträgen (act. 48). Im Weiteren stellte er prozessuale Anträge betreffend Edition und Auskunft (act. 48 S. 3). Die vorinstanzlichen Akten</w:t>
      </w:r>
    </w:p>
    <w:p>
      <w:r>
        <w:t>- 8 - wurden beigezogen und vom Kläger wurde mit Verfügung vom 1. März 2023 ein Kostenvorschuss eingeholt (act. 49; act. 51). Mit Verfügung vom 20. März 2023 wurde der Beklagten Frist zur Beantwortung der Berufung angesetzt (act. 52). Die Beklagte erstattete mit Eingabe vom 11. Mai 2023 die Berufungsantwort (act. 54), welche dem Kläger mit Verfügung vom 9. Juni 2023 zugestellt wurde (act. 56). Das Verfahren ist spruchreif. II. 1. Beim Urteil der Vorinstanz handelt es sich um einen berufungsfähigen Ent- scheid (Art. 308 Abs. 1 lit. a ZPO). Die Berufung wurde form- und fristgerecht er- hoben (Art. 311 ZPO; vgl. act. 44/2) und der Kläger ist beschwert. Der Berufung steht insoweit nichts entgegen.</w:t>
      </w:r>
    </w:p>
    <w:p>
      <w:r>
        <w:rPr>
          <w:b/>
        </w:rPr>
        <w:t>E. 2.1</w:t>
      </w:r>
    </w:p>
    <w:p>
      <w:r>
        <w:t>Der Kläger macht geltend, seine wirtschaftliche Leistungsfähigkeit habe sich seit dem Scheidungsurteil derart verändert, dass eine Anpassung der Unterhalts- regelung erforderlich sei. Massgeblich sind auf der einen Seite die wirtschaftlichen Verhältnisse, die dem Scheidungsurteil zugrunde lagen, und auf der anderen Sei- te die aktuellen Verhältnisse.</w:t>
      </w:r>
    </w:p>
    <w:p>
      <w:r>
        <w:rPr>
          <w:b/>
        </w:rPr>
        <w:t>E. 2.2</w:t>
      </w:r>
    </w:p>
    <w:p>
      <w:r>
        <w:t>Die Beklagte bestreitet das Vorliegen eines Abänderungsgrunds. Im vorinstanzlichen Verfahren führte sie im Wesentlichen Folgendes aus: Der Kläger erhalte an der neuen Arbeitsstelle praktisch das gleiche Basissalär wie bei seiner ehemaligen Arbeitgeberin. Zusätzlich werde ihm vertraglich ein Bonus auf freiwil- liger Basis in Aussicht gestellt, wobei die entsprechende Formulierung ähnlich sei wie im Arbeitsvertrag mit der G._____ (act. 24 S. 7 f. m.H.a. act. 4/4 und act. 26/3). Der Arbeitsvertrag mit der H._____ AG sehe überdies vor, dass der Kläger nach Ablauf der Probezeit, d.h. Ende März 2020, zum Direktionsmitglied ernannt werde. Die H._____ AG weise ein starkes Wachstum auf, was sich insbesondere auf die Höhe der Bonuszahlungen auswirken werde (act. 24 S. 8). Falsch sei, dass die Parteien von einem künftigen Bonus in der Grössenordnung von Fr. 500'000.– ausgegangen seien. Vielmehr sei die künftige Bonussituation ungewiss gewesen. Um die Unsicherheiten betreffend Bonus zu regeln, hätten die Parteien in ihre Scheidungskonvention eine separate Bonusregelung aufgenommen. Diese Regelung sei abschliessend und lasse keinen Raum für Interpretationen. Die Ver- gleichsgespräche seien in weiten Teilen direkt zwischen den Parteien geführt worden, wobei die beiden Rechtsvertreterinnen beratend zur Seite gestanden hät- ten. Sie (die Beklagte) habe ursprünglich eine Unterhaltszahlung bis zum Eintritt ins AHV-Alter und eine hälftige Bonusbeteiligung beansprucht. Zudem sei für sie wichtig gewesen, zuverlässig auf regelmässige Unterhaltszahlungen vertrauen zu dürfen. Der Kläger seinerseits habe eine zeitliche Beschränkung der persönlichen</w:t>
      </w:r>
    </w:p>
    <w:p>
      <w:r>
        <w:t>- 13 - Unterhaltszahlungen und keine Bonusbeteiligung gewollt. Schliesslich hätten sich die Parteien irgendwo in der Mitte gefunden. Dabei sei vom Kläger insbesondere auch ein Abzug beim persönlichen Unterhalt von monatlich Fr. 1'000.00 in den Raum gestellt worden für den Fall, dass ihm kein Bonus ausbezahlt werden sollte. Dies sei von ihr jedoch abgelehnt worden, da sich umgekehrt eine hohe Bonus- zahlung mit der von den Parteien getroffenen Regelung erheblich zu Gunsten des Klägers ausgewirkt habe. Der Kläger habe sich schliesslich mit dem Verzicht auf einen zusätzlichen Abzug von Fr. 1'000.00 einverstanden erklärt; umgekehrt sei sie (die Beklagte) dem Kläger beispielsweise nochmals bei der Unterhaltsdauer entgegen gekommen. Zu beachten sei auch, dass der Kläger bereits damals ge- wusst habe, dass er im Jahr 2019 eine Bonuszahlung von Fr. 400'000.00 (Bonus für das Geschäftsjahr 2018) erhalten würde (act. 24 S. 7 f. m.H.a. act. 26/6). Zu- mindest habe er Ende 2018/Anfang 2019 zumindest in etwa gewusst, mit was für einem Bonus im Jahr 2019 zu rechnen sein dürfte (act. 37 S. 7). Somit stehe fest, dass im vorliegenden Fall selbst dann nicht von veränderten Verhältnissen aus- zugehen sei, wenn dem Kläger überhaupt kein Bonus ausbezahlt würde (act. 24 S 12). Bei der Bonusregelung in der Scheidungskonvention sei jede mögliche Bonushöhe berücksichtigt worden, und zwar von einem Nullbonus bis zu einem Bonus von jährlich über Fr. 184'000.00. Es sei somit eben gerade nicht von einem Bonus, wie er zuletzt von der G._____ geleistet worden sei, sondern von einem Bonus in variierender Höhe ausgegangen worden (act. 37 S. 5). Es sei auch da- rauf hinzuweisen, dass der Kläger nach der Scheidung von zwei hohen Bonus- zahlungen von mindestens Fr. 514'000.– profitiert habe (2019: Fr. 400'000.– ab- zgl. Fr. 48'000.– Anteil Beklagte; 2020: Fr. 200'000.– abzgl. Fr. 48'000.– Anteil Beklagte; 2021: Fr. 10'000.–), von denen er ihr (der Beklagten) nur einen verhält- nismässig kleinen Anteil habe abgeben müssen. Sodann bedeute ein Bonus unter Fr. 48'000.00 auch für sie automatisch eine Unterhaltsreduktion. So erhalte sie seit dem neuen Stellenantritt des Klägers keinerlei Bonus mehr, was automatisch eine monatliche Unterhaltsreduktion von Fr. 4'000.00 (im Vergleich zu einer vollen Bonusbeteiligung) zur Folge habe (act. 37 S. 6). Die Beklagte wies im Weiteren darauf hin, dass der Kläger sich nur beschränkt zur Zulässigkeit einer Abände- rungsklage äussere, sondern stattdessen eine Neuüberprüfung des Scheidungs-</w:t>
      </w:r>
    </w:p>
    <w:p>
      <w:r>
        <w:t>- 14 - urteils verlange. Dies sei jedoch nicht zulässig, da die Abänderungsklage nicht dazu bestimmt sei, ein Scheidungsurteil nachträglich zu korrigieren (vgl. act. 24 S. 4 ff.). Überdies seien die beiden Töchter C._____ und D._____ inzwischen voll- jährig, weshalb sie (die Beklagte) diesbezüglich nicht mehr passivlegitimiert sei (act. 37 S. 3).</w:t>
      </w:r>
    </w:p>
    <w:p>
      <w:r>
        <w:rPr>
          <w:b/>
        </w:rPr>
        <w:t>E. 2.2.1</w:t>
      </w:r>
    </w:p>
    <w:p>
      <w:r>
        <w:t>Welche wirtschaftlichen Verhältnisse der gerichtlich genehmigten Schei- dungsvereinbarung zu Grunde lagen, ergibt sich grundsätzlich aus den in Art. 282 Abs. 1 lit. a ZPO und Art. 301a lit. a ZPO vorgeschriebenen Angaben zum Ein- kommen und Vermögen eines Ehegatten bzw. Elternteils. Für die Bestimmung dessen, was die Parteien mit ihrer Scheidungskonvention – und damit insbeson- dere auch mit diesen Angaben zu den wirtschaftlichen Verhältnissen – zu verein- baren beabsichtigten, muss die Vereinbarung durch das Abänderungsgericht ausgelegt werden. Die Auslegung einer Scheidungskonvention erfolgt nach den allgemeinen Kriterien der Vertragsauslegung (BGer 5A_351/2019 vom 3. Dezem- ber 2019 E. 3.3.1 mit dem Hinweis, dass BGE 143 III 520 E. 6.2 nicht einschlägig sei, da er das Erläuterungsverfahren betrifft). Gemäss den allgemeinen Ausle- gungsregeln ist primär zu ermitteln, von welchen übereinstimmenden Vorstellun- gen die Parteien beim Abschluss der Vereinbarung ausgegangen sind. Lässt sich der wirkliche Wille der Parteien nicht mehr feststellen oder bleibt eine tatsächliche Willensübereinstimmung unbewiesen, ist eine objektivierte Auslegung nach dem Vertrauensprinzip vorzunehmen, d.h. die Vereinbarung ist so auszulegen, wie sie nach ihrem Wortlaut und Zusammenhang sowie den gesamten Umständen ver- standen werden durfte und musste (BGer 5C.197/2003 vom 30. April 2004 E. 2.2; BGer 5A_351/2019 vom 3. Dezember 2019 E. 3.3.1; Staub, Die Abänderung familienrechtlicher Entscheide, Zürich u.a. 2022, Rz. 362). Zu den massgeblichen Umständen können namentlich auch die dem Abschluss der Vereinbarung vorausgehenden Verhandlungen gehören (vgl. BSK OR I-Wiegand, Art. 18 N 27;</w:t>
      </w:r>
    </w:p>
    <w:p>
      <w:r>
        <w:t>- 22 - Gauch/Schluep/Schmid, Schweizerisches Obligationenrecht, Allgemeiner Teil, Bd. I, Zürich u.a. 2020, Rz. 1212 ff.).</w:t>
      </w:r>
    </w:p>
    <w:p>
      <w:r>
        <w:rPr>
          <w:b/>
        </w:rPr>
        <w:t>E. 2.2.2</w:t>
      </w:r>
    </w:p>
    <w:p>
      <w:r>
        <w:t>Ein übereinstimmender wirklicher Wille der Parteien wird nicht konkret be- hauptet. Vorzunehmen ist damit eine objektivierte Auslegung nach dem Vertrau- ensprinzip.</w:t>
      </w:r>
    </w:p>
    <w:p>
      <w:r>
        <w:rPr>
          <w:b/>
        </w:rPr>
        <w:t>E. 2.2.3</w:t>
      </w:r>
    </w:p>
    <w:p>
      <w:r>
        <w:t>Ausgangspunkt der Auslegung bildet Ziffer 8 der Scheidungskonvention, in der als Grundlage der Unterhaltsregelung beim Kläger "ein monatliches Nettoein- kommen von CHF 12'517.00, zuzüglich Kinder-/Ausbildungszulagen und Bonus in variierender Höhe" festgehalten wird (vorne E. III.1.1). Die Höhe des Bonus oder die Bandbreite, in welcher der Bonus variiert, wurden nicht definiert. Insbesondere ist von einem Mindestwert nicht die Rede. Aufgrund des Wortlauts kann der Bo- nus damit auch bei Fr. 0.– liegen.</w:t>
      </w:r>
    </w:p>
    <w:p>
      <w:r>
        <w:rPr>
          <w:b/>
        </w:rPr>
        <w:t>E. 2.2.4</w:t>
      </w:r>
    </w:p>
    <w:p>
      <w:r>
        <w:t>Von Bedeutung ist im Zusammenhang mit dieser Ziffer 8 sowie der Angabe "Bonus in variierender Höhe" im Weiteren Ziffer 7 lit. b der Scheidungskonvention, welche sich unter dem Titel des nachehelichen Unterhalts mit Bonuszahlungen und mit der Beteiligung der Beklagten an diesen befasst. Danach hat die Beklagte zusätzlich zur Unterhaltszahlung gemäss Ziffer 7 lit. a Anspruch auf ein Drittel des über Fr. 40'000.– liegenden Bonus-Gesamtbetrags, maximal auf Fr. 48'000.– pro Jahr. Beträgt der Bonus Fr. 40'000.– oder weniger, wird der "Sockelbetrag nicht erreicht" und hat die Beklagte keinen Anspruch auf eine Bonusbeteiligung (vgl. Ziff. 7 lit. b Bsp. 3). Die Regelung unterstreicht zum einen, dass sich die Parteien konkret mit der Möglichkeit befassten, dass der Bonus sich nicht nur in der Grös- senordnung von mehreren hunderttausend Franken bewegen, sondern in Zukunft auch Fr. 40'000.– oder weniger betragen könnte. Ausgeschlossen werden sollte, dass die Beklagte in einem solchen Fall am Bonus beteiligt wird. Nicht vereinbart wurde dagegen, dass bei einem Bonusanteil von Fr. 40'000.– oder weniger auch die ordentlichen Unterhaltsbeiträge gesenkt werden, obwohl sich eine solche Re- gelung – wenn sie dem Willen der Parteien entsprochen hätte – geradezu aufge- drängt hätte.</w:t>
      </w:r>
    </w:p>
    <w:p>
      <w:r>
        <w:t>- 23 -</w:t>
      </w:r>
    </w:p>
    <w:p>
      <w:r>
        <w:rPr>
          <w:b/>
        </w:rPr>
        <w:t>E. 2.2.5</w:t>
      </w:r>
    </w:p>
    <w:p>
      <w:r>
        <w:t>Als Zwischenergebnis ist festzuhalten: Gestützt auf den Wortlaut und die Systematik der Scheidungsvereinbarung ist klar, dass ein Bonus Fr. 40'000.– oder weniger (und damit auch von Fr. 0.-) innerhalb des Spektrums möglicher zu- künftiger Entwicklungen lag, welches die Parteien ins Auge gefasst haben. Gleichwohl unterliessen sie es, für diesen Fall eine Reduktion des Unterhaltsbei- trags zu vereinbaren bzw. im Rahmen der Angaben zu den der Unterhaltsrege- lung zu Grunde liegenden Verhältnissen einen Mindestbonus vorzusehen.</w:t>
      </w:r>
    </w:p>
    <w:p>
      <w:r>
        <w:rPr>
          <w:b/>
        </w:rPr>
        <w:t>E. 2.2.6</w:t>
      </w:r>
    </w:p>
    <w:p>
      <w:r>
        <w:t>In Frage steht, ob die Umstände ein von Wortlaut und Systematik der Scheidungsvereinbarung abweichendes Verständnis aufdrängen. So hält der Klä- ger dafür, man sei von einem jährlichen Bonus in der Grössenordnung von Fr. 500'000.– ausgegangen (act. 1 S. 6). Auch die Vorinstanz orientiert sich an einem Bonus im Rahmen von Fr. 200'000.– bis Fr. 600'000.– (act. 48 S. 20). Sie stützt sich dabei auf folgende Ausführungen des Klägers anlässlich der Anhörung vor dem Scheidungsgericht: "Ich habe bei der G._____ seit 1996 einen Arbeitsvertrag mit Bonusberechtigung. Die Höhe dieses Bonus variiert jedoch stark zwischen Fr. 200'000.– und Fr. 600'000.–. Der Bonus wird jedoch in Zukunft wieder tiefer ausfallen. Dieses Jahr wird der Bonus Fr. 400'000.– betragen" (Prot. FE180153- D, S. 6). Wie die Beklagte zu Recht geltend macht, lässt sich hieraus nicht ablei- ten, man sei für die Zukunft – im Sinne einer Grundlage der Unterhaltsregelung – übereinstimmend von einem Bonus zwischen Fr. 200'000.– und Fr. 600'000.– ausgegangen. Der Kläger bezog sich vielmehr auf Werte aus der Vergangenheit und wies gleichzeitig darauf hin, dass der Bonus in Zukunft tiefer sein dürfte. Dar- über hinaus nehmen beide Parteien in ihren Rechtsschriften Bezug auf ihre Ver- handlungen, die zum Abschluss der Konvention geführt haben, und insbesondere auf den aktenkundigen E-Mail-Verkehr zwischen den (damaligen) Rechtsvertrete- rinnen der Parteien (act. 15/6 = act. 26/6; vgl. 24 S. 11 f.; act. 31 S. 10 f. Rz. 17; act. 40 S. 7 Rz. 16). Daraus ergibt sich, dass seitens des Klägers unter anderem eine Reduktion des persönlichen Unterhalts um Fr. 1'000.– pro Monat vorge- schlagen worden war für den Fall, dass ihm kein Bonus ausbezahlt werden sollte. Die Beklagte lehnte dies ab und auf eine entsprechende Klausel wurde in der Folge verzichtet (act. 24 S. 12; act. 40 S. 7 Rz. 16). Aus diesem Umstand, den beide Parteien ausdrücklich bestätigen, ergibt sich deutlich, dass beide Parteien</w:t>
      </w:r>
    </w:p>
    <w:p>
      <w:r>
        <w:t>- 24 - sich im Rahmen der Konventionsverhandlungen bewusst waren bzw. nach Treu und Glauben davon ausgehen durften und mussten, dass der Bonus in Zukunft auch Fr. 0.– betragen konnte und dass auch in einem solchen Fall keine Redukti- on der Unterhaltsbeiträge erfolgen sollte.</w:t>
      </w:r>
    </w:p>
    <w:p>
      <w:r>
        <w:rPr>
          <w:b/>
        </w:rPr>
        <w:t>E. 2.2.7</w:t>
      </w:r>
    </w:p>
    <w:p>
      <w:r>
        <w:t>Nichts zu ändern vermag das Vorbringen des Klägers, der Schwellenwert von Fr. 40'000.– in Ziffer 7 lit. b der Scheidungskonvention sei als Kompromiss eingebaut worden, um sicherzustellen, dass er die monatlichen Unterhaltsbeiträge auch in einem Geschäftsjahr, in welchem kein oder nur ein tiefer Bonus ausbe- zahlt werde, bestreiten könne (act. 31 S. 9). Zum einen bestätigt der Kläger damit selbst, die Möglichkeit eines Bonusausfalls bedacht zu haben. Zum andern lässt sich daraus nicht herleiten, dass dem Kläger jedes Jahr ein Mindestbonus von Fr. 40'000.– zukommen müsste bzw. ein Bonus von Fr. 40'000.– oder weniger zu einer Anpassung der Unterhaltsbeiträge berechtigen sollte. Richtig ist zwar, dass der Kläger alleine mit seinem jährlichen Fixeinkommen nicht in der Lage ist, die vereinbarten Unterhaltsbeiträge zu bezahlen. Die Parteien wussten allerdings im Zeitpunkt des Abschlusses der Scheidungskonvention (tt.mm 2019 [act. 18] bzw. 27. März 2019 [act. 19]), dass der Kläger für das Jahr 2019 einen Bonus von Fr. 400'000.– erhalten wird, wovon gemäss der Regelung in Ziffer 7 lit. b Fr. 352'000.– dem Kläger verbleiben und Fr. 48'000.– der Beklagten zukommen wür- de. Sie wussten damit auch, dass der Kläger (im schlimmsten Fall) alleine mit diesem ausbezahlten Bonus in der Lage sein würde, allfällige zukünftige Jahre ohne oder mit einem tiefen Bonus zu überbrücken und die Unterhaltsbeiträge wei- terhin zu bezahlen. Vor diesem Hintergrund erscheint die Vereinbarung auch nicht unangemessen.</w:t>
      </w:r>
    </w:p>
    <w:p>
      <w:r>
        <w:rPr>
          <w:b/>
        </w:rPr>
        <w:t>E. 2.2.8</w:t>
      </w:r>
    </w:p>
    <w:p>
      <w:r>
        <w:t>Nicht zu hören ist der Kläger schliesslich, soweit er sich über die für ihn sei- ner Ansicht nach nachteilige Unterhaltsregelung auslässt und dafür hält, das Scheidungsgericht hätte diese nicht genehmigen dürfen. Wie die Vorinstanz rich- tig festgehalten hat, dient das Abänderungsverfahren nicht dem Ziel, das Schei- dungsurteil zu korrigieren. Daran ändert nichts, dass der Kläger die damals ge- troffene und vom Scheidungsgericht genehmigte Vereinbarung nicht mehr für an- gemessen hält, weil sich die Verhältnisse nicht so entwickelten, wie er es sich</w:t>
      </w:r>
    </w:p>
    <w:p>
      <w:r>
        <w:t>- 25 - gewünscht hatte. Die Möglichkeit, dass sich die Verhältnisse so entwickeln könn- ten, hatten die Parteien – wie gesehen – durchaus bedacht.</w:t>
      </w:r>
    </w:p>
    <w:p>
      <w:r>
        <w:rPr>
          <w:b/>
        </w:rPr>
        <w:t>E. 2.2.9</w:t>
      </w:r>
    </w:p>
    <w:p>
      <w:r>
        <w:t>Festzuhalten ist, dass eine Auslegung der Scheidungsvereinbarung gestützt auf den Wortlaut, den systematischen Zusammenhang und die Umstände ergibt, dass die in Ziffer 8 der Vereinbarung ("Grundlage der Unterhaltsregel") zum Klä- ger festgehaltenen Einkommensverhältnisse ("monatliches Nettoeinkommen von CHF 12'517.00, zuzüglich Kinder-/Ausbildungszulagen und Bonus in variierender Höhe") so zu verstehen sind, dass der Bonus auch Fr. 0.– betragen kann und dennoch keine Veränderung der Verhältnisse vorliegt, die zu einer Herabsetzung der Unterhaltsbeiträge führen kann.</w:t>
      </w:r>
    </w:p>
    <w:p>
      <w:r>
        <w:rPr>
          <w:b/>
        </w:rPr>
        <w:t>E. 2.3</w:t>
      </w:r>
    </w:p>
    <w:p>
      <w:r>
        <w:t>Was die aktuellen Verhältnisse betrifft, erzielt der Kläger an seiner neuen Stelle ein Fixeinkommen in der gleichen Grössenordnung wie zuvor. Auch die Bonusregelungen im Vertrag mit der G._____ einerseits und jene im Vertrag mit der H._____ AG anderseits stimmen inhaltlich im Wesentlichen überein (act. 15/3: "[…] Der Spezialbonus stellt eine freiwillige Leistung der Bank dar. Er ist rechtlich nicht durchsetzbar und wird bei der Festsetzung des versicherten Gehalts nicht berücksichtigt"; act. 4/4 Ziff. 4: "[…] können Sie eventuell in Genuss einer jährlichen Prämie/Bonus kommen welche in vollem Ermessen des Arbeitgebers ist. […]"). Tatsächlich reduzierte sich der Bonus gemäss den Vorbringen des Klägers und der von ihm eingereich- ten Bestätigung (act. 32/17) aber auf Fr. 10'000.– (act. 46 S. 13; s.a. act. 47/2-4). Dies führt dazu, dass er der Beklagten gemäss der Regelung von Ziffer 7 lit. b der Scheidungskonvention keinen Anteil am Bonus mehr zahlen muss. Ein Grund für eine Abänderung der ordentlichen Unterhaltsbeiträge ist dies dagegen nach dem Ausgeführten nicht. Ein Bonus von lediglich Fr. 10'000.– wurde von den Parteien bei Abschluss der Scheidungskonvention und der Festlegung der Unterhaltsbei- träge als mögliche zukünftige Tatsache berücksichtigt und bildet keinen Abände- rungsgrund.</w:t>
      </w:r>
    </w:p>
    <w:p>
      <w:r>
        <w:rPr>
          <w:b/>
        </w:rPr>
        <w:t>E. 2.4</w:t>
      </w:r>
    </w:p>
    <w:p>
      <w:r>
        <w:t>Nicht eingegangen werden muss auf die Ausführungen der Vorinstanz und des Klägers zur zweiten und dritten Stufe der Prüfung des Abänderungsbegeh- rens. Die prozessualen Anträge des Klägers betreffend Auskunft und Edition (An-</w:t>
      </w:r>
    </w:p>
    <w:p>
      <w:r>
        <w:t>- 26 - träge Ziffer 9-11) sind sodann mangels praktischer Bedeutung abzuweisen. Nicht geprüft werden muss auch die Einwendung der Beklagten, wonach sie hinsichtlich der Kinderunterhaltsbeiträge teilweise nicht (mehr) passivlegitimiert sei.</w:t>
      </w:r>
    </w:p>
    <w:p>
      <w:r>
        <w:rPr>
          <w:b/>
        </w:rPr>
        <w:t>E. 3.1</w:t>
      </w:r>
    </w:p>
    <w:p>
      <w:r>
        <w:t>Der Kläger beantragt im Rahmen der Berufung neu, es sei festzustellen, dass die Bezahlung des nachehelichen Unterhalts infolge des über drei Jahre dauernden Zusammenlebens der Berufsbeklagten in eheähnlicher Gemeinschaft mit einer erwachsenen Person spätestens seit 1. Juli 2021 sistiert sei, eventualiter sei die Bezahlung des nachehelichen Unterhalt aus demselben Grund seit 1. Juli 2021 zu sistieren (act. 46 S. 3, Anträge Ziffer 6 und 7). Er stützt sich dabei auf Zif- fer 7 lit. c der Scheidungsvereinbarung und macht geltend, die Beklagte wohne seit 2018 mit ihrem neuen Lebenspartner in einem eheähnlichen Verhältnis zu- sammen. Es sei davon auszugehen, dass dieser anteilsmässig an die Kosten Bei- träge leiste. Nicht erbringen könne er (der Kläger) den urkundlichen Nachweis der Wohnsitznahme in I._____, weil der Lebenspartner der Beklagten als J._____ Kantonspolizist im Kanton J._____ Wohnsitz haben müsse und sich in I._____ nicht anmelden könne (act. 46 S. 35). In prozessualer Hinsicht macht der Kläger geltend, es handle sich bei der beantragten Feststellung des Eintritts der Sistie- rung des nachehelichen Unterhalts um ein echtes Novum im Sinne von Art. 317 Abs. 1 ZPO, welches weder im Zeitpunkt der Abänderungsklage am 1. April 2020 noch anlässlich der Einigungsverhandlung des erstinstanzlichen Verfahrens am 16. Juli 2020, noch bei der Einreichung der Klagereplik am 22. Mai 2021 mangels Ablaufs der dreijährigen Frist des eheähnlichen Zusammenlebens gemäss Ziff. 7 lit. c der Scheidungsvereinbarung vorgelegen habe. Im Übrigen habe er bereits in seiner vorinstanzlichen Replik geltend gemacht, dass die Beklagte in einer ehe- ähnlichen Gemeinschaft mit ihrem Lebensgefährten zusammenlebe, weshalb sich ihre Kosten reduzieren würden (act. 46 S. 36).</w:t>
      </w:r>
    </w:p>
    <w:p>
      <w:r>
        <w:rPr>
          <w:b/>
        </w:rPr>
        <w:t>E. 3.2</w:t>
      </w:r>
    </w:p>
    <w:p>
      <w:r>
        <w:t>Die Beklagte weist in ihrer Berufungsantwort – wie schon vor Vorinstanz – darauf hin, dass die beiden Töchter C._____ (geb. tt.mm 2001) und D._____ (geb. tt.mm 2003) volljährig seien und sie nicht bzw. nicht länger passivlegitimiert sei, soweit es um eine Unterhaltsreduktion betreffend diese beiden Töchter gehe. Bei der Tochter E._____ werde ihre Passivlegitimation am tt.mm 2023 enden, so dass die Abänderungsklage in diesem Umfang mangels Passivlegitimation ohne weitere materielle Prüfung abzuweisen sei (act. 54 S. 6). Sodann hätte die Vo- rinstanz die Klage bereits mangels einer wesentlichen, dauernden und nicht vor- hersehbaren Veränderung der Verhältnisse abweisen müssen. Eine nachträgliche Anpassung der vergleichsweise definierten tatsächlichen Bemessungsgrundlagen könne nur erfolgen, wenn neue Tatsachen einträten, die klarerweise ausserhalb des Spektrums der von den Parteien für möglich, aber ungewiss gehaltenen Ent- wicklungen lägen. Die Beklagte schliesst – in Wiederholung ihrer Ausführungen vor Vorinstanz (act. 54 S. 7 ff.) –, dass die vereinbarte Bonusregelung auch die Möglichkeit eines fehlenden oder reduzierten Bonus (z.B. wie vorliegend von Fr. 10'000.–) mitumfasse und dass entsprechend gar keine veränderten Verhältnisse vorlägen, welche eine Abänderung des Ehescheidungsurteils rechtfertigen wür- den (act. 54 S. 9). Im Weiteren sei ein Abänderungsverfahren nicht dazu be- stimmt, ein Scheidungsurteil nachträglich zu korrigieren, selbst wenn dieses Män- gel aufgewiesen haben sollte (was vorliegend nicht der Fall sei); ein Abände- rungsverfahren sei kein Korrektiv für schlechte Prozessführung im Scheidungs-</w:t>
      </w:r>
    </w:p>
    <w:p>
      <w:r>
        <w:t>- 19 - prozess (act. 54 S. 11). Soweit der Kläger einen Eingriff in sein familienrechtliches Existenzminimum behaupte, wären vorab seine gesamten Einkünfte (inkl. Aktien- gewinne und Vermögenserträgnisse aus seinem beträchtlichen Vermögen) zu be- rücksichtigen. Der Kläger befinde sich wirtschaftlich in komfortablen Verhältnis- sen, was sich etwa daran zeige, dass er seit neuestem einen Porsche Panamera (mit einem Verkaufspreis von mindestens Fr. 124'500.–) fahre (act. 54 S. 12). Zum Lohn des Klägers seien auch die Pauschalspesen, Aktieneinkünfte und Vermögenserträgnisse zu rechnen (wobei das Vermögen des Klägers nach der güterrechtlichen Auseinandersetzung noch mindestens Fr. 1.3 Mio. betragen ha- be und er zudem im Jahr 2020 bzw. 2021 in den Genuss einer Erbschaft gekom- men sei, welche ebenfalls zusätzliche Erträgnisse generiere; act. 54 S. 15). Der Kläger gehe sodann fehl, wenn er die Berechnung der Vorinstanz im Rahmen ei- ner Billigkeitsüberprüfung in eigenwilliger Weise zur Grundlage für eine zweistufi- ge Unterhaltsberechnung nehme (vgl. act. 54 S. 16). Was schliesslich den kläge- rischen Antrag auf Sistierung betreffe, sei dieser verspätet erfolgt und in der Sa- che nicht berechtigt (act. 54 S. 21 ff.). IV. 1.</w:t>
      </w:r>
    </w:p>
    <w:p>
      <w:r>
        <w:rPr>
          <w:b/>
        </w:rPr>
        <w:t>E. 3.2.1</w:t>
      </w:r>
    </w:p>
    <w:p>
      <w:r>
        <w:t>Neue Tatsachen und Beweismittel werden im Berufungsverfahren nur noch berücksichtigt, wenn sie ohne Verzug vorgebracht werden und trotz zumutbarer Sorgfalt nicht schon vor erster Instanz vorgebracht werden konnten (Art. 317 Abs. 1 ZPO). Eine Klageänderung ist nur noch möglich, wenn die Voraussetzun-</w:t>
      </w:r>
    </w:p>
    <w:p>
      <w:r>
        <w:t>- 27 - gen nach Art. 227 Abs. 1 ZPO gegeben sind und sie auf neuen Tatsachen oder Beweismitteln beruht (Art. 317 Abs. 2 ZPO).</w:t>
      </w:r>
    </w:p>
    <w:p>
      <w:r>
        <w:rPr>
          <w:b/>
        </w:rPr>
        <w:t>E. 3.2.2</w:t>
      </w:r>
    </w:p>
    <w:p>
      <w:r>
        <w:t>Wie die Beklagte richtig einwendet, ist nicht dargetan und zu sehen, wieso es dem Kläger nicht möglich und zumutbar gewesen wäre, im Zeitpunkt des von ihm behaupteten Eintritts des Sistierungsgrunds (1. Juli 2021) im vorinstanzlichen Verfahren eine Noveneingabe zu machen (vgl. act. 54 S. 23 f.). Er tat dies nicht einmal in seiner Stellungnahme zur Duplik vom 16. November 2021 (act. 40). Im Rahmen der Berufungsschrift ist das Novenvorbringen jedenfalls verspätet und gemäss Art. 317 Abs. 1 ZPO nicht mehr zulässig. Nicht mehr möglich ist damit nach Art. 317 Abs. 2 ZPO auch die Klageänderung. Auf die neuen Anträge ge- mäss Ziffer 6 und 7 der Berufung ist nicht einzutreten.</w:t>
      </w:r>
    </w:p>
    <w:p>
      <w:r>
        <w:rPr>
          <w:b/>
        </w:rPr>
        <w:t>E. 3.3</w:t>
      </w:r>
    </w:p>
    <w:p>
      <w:r>
        <w:t>Im Übrigen wären die klägerischen Anträge aufgrund der Behauptungs- und Beweislage auch in der Sache abzuweisen. So behauptete der Kläger in der Rep- lik im Zusammenhang mit den Lebenshaltungskosten, "dass die Beklagte seit ge- raumer Zeit mit einem Polizeibeamten aus dem Kanton J._____ in einem eheähn- lichen Verhältnis zusammenlebe" (act. 31 S. 28). Als Beweis beantragte er die persönliche Befragung der Beklagten und behielt sich für den Bestreitungsfall wei- tere Beweismittel vor (ebd.). Die Beklagte führte hierzu in der Duplik aus, es handle sich bei dieser Behauptung um einen Schuss ins Blaue. Sie lebe mit ihren Kindern allein in der ehelichen Liegenschaft und daran werde sich auch nichts ändern; irgendwelche Kostenbeteiligungen ihres Partners gebe es nicht (act. 37 S. 19). Auch in der Berufungsschrift bringt der Kläger nun offensichtlich aufs Ge- ratewohl pauschal vor, die Beklagte lebe mit ihrem Partner "seit geraumer Zeit, d.h. ab 2018 […] in einem eheähnlichen Verhältnis" zusammen (act. 46 S. 34). Er unterlässt es, irgendwelche Anhaltspunkte für ein solches Zusammenleben (bzw. für ein Zusammenleben "in eheähnlicher Gemeinschaft mit einem Lebenspartner in derselben Wohnung" gemäss Ziffer 7 lit. c der Scheidungsvereinbarung) darzu- tun, über welche Beweis abgenommen werden könnte. Eine allgemeine, auf gut Glück aufgestellte Behauptung dieser Art (in der Hoffnung, das Beweisverfahren werde irgendetwas Verwertbares ergeben) ist unwirksam.</w:t>
      </w:r>
    </w:p>
    <w:p>
      <w:r>
        <w:t>- 28 -</w:t>
      </w:r>
    </w:p>
    <w:p>
      <w:r>
        <w:rPr>
          <w:b/>
        </w:rPr>
        <w:t>E. 4</w:t>
      </w:r>
    </w:p>
    <w:p>
      <w:r>
        <w:t>Schriftliche Mitteilung an die Parteien sowie an das Bezirksgericht Dielsdorf,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323'000.–. Die Beschwerde an das Bundesgericht hat keine aufschiebende Wirkung. Obergericht des Kantons Zürich II. Zivilkammer i.V. Vorsitzende: Der Gerichtsschreiber: lic. iur. M. Stammbach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