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LC230004 vom 24. April 2023</w:t>
      </w:r>
    </w:p>
    <w:p>
      <w:r>
        <w:t>ZH Obergericht, 2023-04-24, DE</w:t>
      </w:r>
    </w:p>
    <w:p>
      <w:r>
        <w:rPr>
          <w:b/>
        </w:rPr>
        <w:t xml:space="preserve">Quelle: </w:t>
      </w:r>
      <w:r>
        <w:t>https://mcp.opencaselaw.ch/entscheid/zh_obergericht_LC230004</w:t>
      </w:r>
    </w:p>
    <w:p>
      <w:r>
        <w:t>FR: ZH_OBERGERICHT LC230004 du 24 avril 2023</w:t>
      </w:r>
    </w:p>
    <w:p>
      <w:r>
        <w:t>IT: ZH_OBERGERICHT LC230004 del 24 aprile 2023</w:t>
      </w:r>
    </w:p>
    <w:p>
      <w:pPr>
        <w:pStyle w:val="Heading2"/>
      </w:pPr>
      <w:r>
        <w:t>Erwägungen</w:t>
      </w:r>
    </w:p>
    <w:p>
      <w:r>
        <w:rPr>
          <w:b/>
        </w:rPr>
        <w:t>E. 1</w:t>
      </w:r>
    </w:p>
    <w:p>
      <w:r>
        <w:t>Der Kläger und Berufungskläger (nachfolgend Kläger) hatte mit Eingabe vom 24. Dezember 2021 beim Einzelgericht des Bezirksgerichts Andelfingen eine Abänderungsklage eingereicht (act. 1). Daraufhin hatte die Vorinstanz gemäss Art. 291 ZPO zu einer Einigungsverhandlung sowie zur Verhandlung betreffend vorsorgliche Massnahmen (welche mit der Abänderungsklage beantragt worden waren) auf den 30. Juni 2022 vorgeladen. Eine Einigung wurde nicht erzielt, und die Parteien wurden anlässlich der Massnahmenverhandlung befragt und die Rechtsvertreter hatten in diesem Rahmen je zwei Parteivorträge (Prot. Vi S. 15 ff.). Im Anschluss an die Verhandlung erging am 5. Juli 2022 ein unbegründetes Urteil, mit welchem die Abänderungsklage abgewiesen wurde, soweit darauf ein- getreten wurde (act. 24). Nachdem der Kläger ein begründetes Urteil verlangt hat- te (act. 26), erging das Urteil sodann in begründeter Form (act. 29 = act. 34/1 = act. 35 [Aktenexemplar], nachfolgend zitiert als act. 35).</w:t>
      </w:r>
    </w:p>
    <w:p>
      <w:r>
        <w:rPr>
          <w:b/>
        </w:rPr>
        <w:t>E. 2</w:t>
      </w:r>
    </w:p>
    <w:p>
      <w:r>
        <w:t>Gegen dieses Urteil erhob der Kläger mit Eingabe vom 1. Februar 2023 rechtzeitig (act. 32 S. 1 i.V.m. act. 30/1) Berufung mit den oben wiedergegebenen</w:t>
      </w:r>
    </w:p>
    <w:p>
      <w:r>
        <w:t>- 8 - Anträgen. Die gleichzeitig mit dem angefochtenen Urteil ergangene Verfügung, mit welcher die vorsorglichen Begehren des Klägers abgewiesen wurden, ist demgegenüber nicht angefochten worden und demnach nicht Gegenstand des vorliegenden Berufungsverfahrens. Mit Verfügung vom 13. März 2023 wurde der Beklagten Frist zur Berufungs- antwort angesetzt (act. 36). Mit Eingabe vom 30. März 2023 erstattete die Beklag- te fristgerecht ihre Berufungsantwort, mit welcher sie die Abweisung der Berufung sowie die Abweisung des Gesuchs um Prozesskostenvorschuss beantragen liess (act. 38 S. 2). Das Verfahren erweist sich als spruchreif. Dem Kläger wird mit dem Entscheid ein Doppel von act. 38 zuzustellen sein. 3.1. Die nach Eingang der Berufung zu prüfenden Rechtsmittelvoraussetzungen sind erfüllt. Die Berufung wurde form- und fristgerecht erhoben und mit Anträgen und Begründung versehen. Dem Eintreten steht grundsätzlich nichts entgegen. Der Antrag Ziff. 8 auf Zusprechung eines Prozesskostenvorschusses wird vom Kläger allerdings mit keinem Wort begründet. Auf diesen Antrag ist demnach nicht einzutreten (wobei er beim vorliegenden Verfahrensverlauf ohnehin gegenstands- los geworden wäre). 3.2. 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Entscheid oder am Verfahren der Vorinstanz falsch sein soll (vgl. ZR 110 [2011] Nr. 80, BGE 138 III 374 ff., E. 4.3.1 = Pra 102 [2013] Nr. 4); blosse Ver- weise auf die Vorakten genügen nicht (vgl. ZK ZPO-REETZ/THEILER, 3. Aufl. 2016, Art. 311 N 36 f.). Die volle Kognition der Berufungsinstanz in Rechtsfragen bedeutet aber nicht, dass sie gehalten wäre, von sich aus wie ein erstinstanzliches Gericht alle sich stellenden rechtlichen Fragen zu untersuchen, wenn der Berufungskläger</w:t>
      </w:r>
    </w:p>
    <w:p>
      <w:r>
        <w:t>- 9 -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 Rechtsfragen OGer ZH PS180131 vom 3. September 2018, E. III./3). Mit anderen Worten muss die Rechtsschrift eine minimale rechtliche Begründung enthalten, wenn eine unrichtige Rechtsanwendung geltend gemacht wird (vgl. etwa OGer ZH LB140047 vom 5. Februar 2015, E. III./1a; LB160044 vom 23. Dezember 2016, E. I./4).</w:t>
      </w:r>
    </w:p>
    <w:p>
      <w:r>
        <w:rPr>
          <w:b/>
        </w:rPr>
        <w:t>E. 4</w:t>
      </w:r>
    </w:p>
    <w:p>
      <w:r>
        <w:t>Der Kläger bringt zur Begründung seines Hauptantrages Folgendes vor: Die Parteien seien im vorinstanzlichen Verfahren ausdrücklich zur Einigungsverhand- lung sowie zur Verhandlung betreffend vorsorgliche Massnahmen auf den 30. Juni 2022 vorgeladen worden. Allerdings habe die Vorinstanz sodann mit Ver- fügung und Urteil vom 5. Juli 2022 nicht nur über die beantragten vorsorglichen Massnahmen, sondern auch über sämtliche Punkte in der Hauptsache abschlies- send entschieden. Damit habe die Vorinstanz die im Abänderungsverfahren mas- sgebenden gesetzlichen Bestimmungen für das Scheidungsverfahren verletzt (act. 32 Rz 5 ff.). Die Berufungsbegründung führt sodann in rechtlicher Hinsicht die geltend gemachten Rechtsverletzungen im Einzelnen auf (act. 32 Rz 10 ff.).</w:t>
      </w:r>
    </w:p>
    <w:p>
      <w:r>
        <w:t>- 10 - Die Beklagte hält das Vorgehen der Vorinstanz für rechtens, hätten doch die Parteien im Rahmen der Massnahmenverhandlung die Möglichkeit zur zweifa- chen Stellungnahme erhalten, womit nach dieser Verhandlung das Verfahren spruchreif gewesen sei und ein Urteil habe ergehen müssen. Es hätte angesichts der zweimaligen Äusserungsmöglichkeit einem kompletten Leerlauf entsprochen, wenn das Gericht zum damaligen Zeitpunkt einen Schriftenwechsel angeordnet hätte, wobei ja der Kläger ohnehin bereits eine begründete Klage eingereicht ha- be, in welcher er seine Ausführungen und Beweismittel habe nennen können (act. 38 S. 2 f.).</w:t>
      </w:r>
    </w:p>
    <w:p>
      <w:r>
        <w:rPr>
          <w:b/>
        </w:rPr>
        <w:t>E. 5</w:t>
      </w:r>
    </w:p>
    <w:p>
      <w:r>
        <w:t>Gemäss Art. 284 Abs. 3 ZPO gelten für streitige Abänderungsverfahren die Vorschriften über das Scheidungsverfahren sinngemäss. Das hat die Vorinstanz nicht verkannt, und sie hat zur Einigungsverhandlung gemäss Art. 291 ZPO vor- geladen, verbunden mit einer Verhandlung betreffend vorsorgliche Massnahmen. Kommt an der Einigungsverhandlung eine Einigung nicht zustande, so setzt das Gericht der klagenden Partei Frist, eine schriftliche Klagebegründung nachzu- reichen (Art. 291 Abs. 3 ZPO). Das gilt in jedem Fall, auch dann, wenn die Klage bereits ausführlich begründet wurde (BGE 138 III 366 E. 3.2.2.). Das Scheidungs- verfahrensrecht sieht demnach – jedenfalls in der derzeit gültigen Fassung (an- ders dann in der gemäss der Gesetzesrevision vom 17. März 2023 gültigen Fas- sung von Art. 291 Abs. 3 ZPO) – im Anschluss an eine gescheiterte Einigungs- verhandlung zwingend einen Schriftenwechsel vor. An diesem gesetzlich vorge- schriebenen Verfahrensablauf ändert sich nichts, wenn die Parteien im Anschluss an die Einigungsverhandlung über vorsorgliche Massnahmenbegehren mündlich plädieren, wie das vorliegend der Fall war. Nota bene ist auch der Gegenstand des Verfahrens betreffend vorsorgliche Massnahmen nicht zu verwechseln mit demjenigen des Hauptverfahrens, so dass sich die Parteien zwar zweimal geäus- sert haben mögen, aber nicht nur nicht in der gesetzlich vorgeschriebenen Form (nämlich mündlich anstatt schriftlich), sondern überdies zu einem anderen Ge- genstand. Das Verfahren bei Klage auf Abänderung des Scheidungsurteils richtet sich also nach Art. 290 ff. ZPO, während Begehren um vorsorgliche Massnahmen im summarischen Verfahren zu beurteilen sind (Art. 271 lit. a und 276 ZPO). Nur in letzterem Verfahren genügt die von der Vorinstanz durchgeführte mündliche</w:t>
      </w:r>
    </w:p>
    <w:p>
      <w:r>
        <w:t>- 11 - Verhandlung zur Einholung der Parteivorträge (Art. 273 Abs. 1 ZPO). Diese Sach- lage verkennt die Vorinstanz wie auch die Beklagte offensichtlich. Die Vorinstanz hat daher das Scheidungsverfahrensrecht deutlich verletzt, indem sie feststellte, aufgrund der Behauptungen während der Einigungsverhandlung sowie des vor- sorglichen Massnahmenverfahrens erwiesen sich die Anträge das Klägers als nicht begründet, weshalb sich die Hauptverhandlung als obsolet erweise (act. 35 E. I.6.). Es ist nicht angängig, vor der Durchführung des Verfahrens dessen Er- gebnis vorwegzunehmen.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- 13 - Dies ist ein Zwischenentscheid im Sinne von Art. 92 BGG. Es handelt sich um eine nicht vermögensrechtliche Angelegenheit. Die Beschwerde an das Bundesgericht hat keine aufschiebende Wirkung. Obergericht des Kantons Zürich II. Zivilkammer Die Gerichtsschreiberin: MLaw N. Gautschi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