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LC220032 vom 15. November 2022</w:t>
      </w:r>
    </w:p>
    <w:p>
      <w:r>
        <w:t>ZH Obergericht, 2022-11-15, DE</w:t>
      </w:r>
    </w:p>
    <w:p>
      <w:r>
        <w:rPr>
          <w:b/>
        </w:rPr>
        <w:t xml:space="preserve">Quelle: </w:t>
      </w:r>
      <w:r>
        <w:t>https://mcp.opencaselaw.ch/entscheid/zh_obergericht_LC220032</w:t>
      </w:r>
    </w:p>
    <w:p>
      <w:r>
        <w:t>FR: ZH_OBERGERICHT LC220032 du 15 novembre 2022</w:t>
      </w:r>
    </w:p>
    <w:p>
      <w:r>
        <w:t>IT: ZH_OBERGERICHT LC220032 del 15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8. September 2022 wies die Vorinstanz das gemeinsame Scheidungsbegehren der Parteien ab. Sie auferlegte dem Gesuchsteller und Be- rufungsbeklagten (fortan Gesuchsteller) sodann die Entscheidgebühr von Fr. 150.– (Urk. 6 S. 3 Dispositivziffern 1, 3 und 4 = Urk. 11 S. 3 Dispositivziffern 1,</w:t>
      </w:r>
    </w:p>
    <w:p>
      <w:r>
        <w:rPr>
          <w:b/>
        </w:rPr>
        <w:t>E. 3</w:t>
      </w:r>
    </w:p>
    <w:p>
      <w:r>
        <w:t>Ein Anspruch auf unentgeltliche Rechtspflege setzt neben der Mittellosig- keit auch voraus, dass das Rechtsbegehren nicht aussichtslos erscheint (Art. 117 lit. b ZPO). Das Berufungsverfahren war jedoch wie vorstehend aufgezeigt von vornherein als aussichtslos anzusehen, weshalb das Gesuch der Gesuchstellerin um Gewährung der unentgeltlichen Rechtspflege für das Berufungsverfahren ab- zuweisen ist.</w:t>
      </w:r>
    </w:p>
    <w:p>
      <w:r>
        <w:rPr>
          <w:b/>
        </w:rPr>
        <w:t>E. 4</w:t>
      </w:r>
    </w:p>
    <w:p>
      <w:r>
        <w:t>Die Prozesskosten werden der unterliegenden Partei auferlegt. Bei Nicht- eintreten gilt die klagende Partei bzw. die Partei, welche das Rechtsmittel erho- ben hat, als unterliegend (vgl. Art. 106 Abs. 1 ZPO), weshalb der Gesuchstellerin die Gerichtskosten des Berufungsverfahrens aufzuerlegen sind. Die zweitinstanz- liche Entscheidgebühr ist in Anwendung von § 5 Abs. 1 GebV OG, § 6 Abs. 1 GebV OG und § 10 Abs. 1 GebV OG in Verbindung mit § 12 Abs. 1 und 2 GebV OG auf Fr. 200.– festzusetzen. Mangels wesentlicher Umtriebe ist dem Gesuch- steller für das Berufungsverfahren keine Entschädigung zuzusprechen (vgl. Art. 95 Abs. 3 ZPO). Die Gesuchstellerin ihrerseits hat als unterliegende Partei keinen Anspruch auf Entschädigung (vgl. Art. 106 Abs. 1 ZPO), wobei sie im Be- rufungsverfahren ohnehin keinen diesbezüglichen Antrag stellte (vgl. Urk. 10).</w:t>
      </w:r>
    </w:p>
    <w:p>
      <w:r>
        <w:t>- 5 -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