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LC220015 vom 27. Juli 2022</w:t>
      </w:r>
    </w:p>
    <w:p>
      <w:r>
        <w:t>ZH Obergericht, 2022-07-27, DE</w:t>
      </w:r>
    </w:p>
    <w:p>
      <w:r>
        <w:rPr>
          <w:b/>
        </w:rPr>
        <w:t xml:space="preserve">Quelle: </w:t>
      </w:r>
      <w:r>
        <w:t>https://mcp.opencaselaw.ch/entscheid/zh_obergericht_LC220015</w:t>
      </w:r>
    </w:p>
    <w:p>
      <w:r>
        <w:t>FR: ZH_OBERGERICHT LC220015 du 27 juillet 2022</w:t>
      </w:r>
    </w:p>
    <w:p>
      <w:r>
        <w:t>IT: ZH_OBERGERICHT LC220015 del 27 luglio 2022</w:t>
      </w:r>
    </w:p>
    <w:p>
      <w:pPr>
        <w:pStyle w:val="Heading2"/>
      </w:pPr>
      <w:r>
        <w:t>Erwägungen</w:t>
      </w:r>
    </w:p>
    <w:p>
      <w:r>
        <w:rPr>
          <w:b/>
        </w:rPr>
        <w:t>E. 1</w:t>
      </w:r>
    </w:p>
    <w:p>
      <w:r>
        <w:t>Die Klägerin und Berufungsklägerin (nachfolgend Klägerin) machte mit Ein- gabe vom 11. Juni 2018 beim Bezirksgericht Pfäffikon (nachfolgend Vorinstanz) eine Scheidungsklage anhängig (act. 1). Der Beklagte und Berufungsbeklagte (nachfolgend Beklagter) wurde sodann aufgrund seines Wohnsitzes in P._____ [Staat in Südamerika] mit Verfügung vom 14. Juni 2018 auf dem Rechtshilfeweg aufgefordert, eine Zustelladresse in der Schweiz zu bezeichnen (act. 7 f.). Mit Schreiben vom 18. Dezember 2019 des Bundesamtes für Justiz (bei der Vo- rinstanz eingegangen am 23. Dezember 2019) wurde das Obergericht darüber in- formiert, dass das entsprechende Ersuchen (WR180678-O = C-18-481-1) vom 18. Juli 2018 (bereits) am 9. August 2018 dem Beklagten mit eingeschriebener … Post [des Staates P._____] habe zugestellt werden können (act. 54 mit Beilagen). Zur daraufhin am tt.mm.2020 auf den 16. März 2020 angesetzten Verhandlung betreffend vorsorgliche Massnahmen (sowie UP/URV) wurde der Beklagte, wel- cher keinen Zustellungsempfänger in der Schweiz bezeichnet hatte, mittels Publi- kation im Amtsblatt vorgeladen (act. 57 f.); der Beklagte blieb säumig (Prot. Vi S. 5). Das Begehren der Klägerin um Erlass vorsorglicher Massnahmen wurde</w:t>
      </w:r>
    </w:p>
    <w:p>
      <w:r>
        <w:t>- 8 - sodann mit Verfügung vom 27. April 2020 vollumfänglich abgewiesen, während ihr die unentgeltliche Rechtspflege bewilligt wurde (act. 65). Mit Vorladung vom 29. Juni 2020 wurden die Parteien zur Einigungsverhandlung/Hauptverhandlung auf den 7. September 2020 vorgeladen (act. 68 f.); der Beklagte blieb an der Ver- handlung säumig (Prot. Vi S. 19). Nachdem die Klägerin in der Folge innert Frist ihre Klagebegründung eingereicht hatte (act. 87), wurde dem Beklagten mit Ver- fügung vom 12. November 2020 Frist und mit Verfügung vom 5. Januar 2021 Nachfrist zur Einreichung der Klageantwort gesetzt (act. 89 f., act. 92 f.), welche der Beklagte ungenutzt verstreichen liess. Nach Abklärungen betreffend die beruf- liche Vorsorge erliess die Vorinstanz am 25. Februar 2022 das angefochtene Ur- teil (act. 117 = act. 126/1 = act. 127, nachfolgend zitiert als act. 127).</w:t>
      </w:r>
    </w:p>
    <w:p>
      <w:r>
        <w:rPr>
          <w:b/>
        </w:rPr>
        <w:t>E. 2</w:t>
      </w:r>
    </w:p>
    <w:p>
      <w:r>
        <w:t>Es kann mit Berufung sowohl die unrichtige Rechtsanwendung als auch die unrichtige Feststellung des Sachverhaltes geltend gemacht werden (vgl. Art. 310 ZPO). Die Berufungsinstanz kann sämtliche Mängel (in Tat- und Rechtsfragen) frei und uneingeschränkt prüfen (sog. volle Kognition in Tat- und Rechtsfragen), vorausgesetzt, dass sich die Berufung erhebende Partei mit den Entscheidgrün- den der ersten Instanz auseinandersetzt und konkret aufzeigt, was am angefoch- tenen Entscheid oder am Verfahren der Vorinstanz falsch sein soll (vgl. ZR 110 [2011] Nr. 80, BGE 138 III 374 ff., E. 4.3.1 = Pra 102 [2013] Nr. 4); blosse Ver-</w:t>
      </w:r>
    </w:p>
    <w:p>
      <w:r>
        <w:t>- 9 - weise auf die Vorakten genügen nicht (vgl. ZK ZPO-REETZ/THEILER, 3. Aufl. 2016, Art. 311 N 36 f.). Die volle Kognition der Berufungsinstanz in Rechtsfragen bedeutet aber nicht, dass sie gehalten wäre, von sich aus wie ein erstinstanzliches Gericht alle sich stellenden rechtlichen Fragen zu untersuchen, wenn der Berufungskläger diese vor der Berufungsinstanz nicht (mehr) vorträgt; vielmehr hat sie sich – ab- gesehen von offensichtlichen Mängeln – auf die Beurteilung der in der schriftli- chen Berufungsbegründung erhobenen Beanstandungen zu beschränken (vgl. BGE 142 III 413 ff., E. 2.2.4; BGer 4A_629/2017 vom 17. Juli 2018, E. 4.1.4; 4A_418/2017 vom 8. Januar 2018, E. 2.3). Insofern gibt die Berufungsschrift durch die ausreichend begründet vorgetragenen Beanstandungen das Prüfpro- gramm vor, mit welchem sich die Berufungsinstanz zu befassen hat. Innerhalb dieser Beanstandungen ist sie indes weder an die Begründung des Berufungsklä- gers noch an jene der Vorinstanz gebunden, sondern sie wendet das Recht von Amtes wegen an (Art. 57 ZPO). Deshalb kann die Berufung auch mit einer ande- ren Argumentation gutgeheissen oder mit einer von der Argumentation der Vorin- stanz abweichenden Begründung abgewiesen werden (vgl. BGer 4A_629/2017 vom 17. Juli 2018, E. 4.1.4; 4A_397/2016 vom 30. November 2016, E. 3.1). Ent- sprechend muss ein Berufungskläger zwar darlegen, dass und inwiefern die Vor- instanz das Recht aus seiner Sicht unrichtig angewendet hat, zutreffen muss die- se Begründung – um eine freie Überprüfung durch die Berufungsinstanz zu erwir- ken – aber nicht (vgl. zur ebenfalls vollen Kognition der Beschwerdeinstanz in Rechtsfragen OGer ZH PS180131 vom 3. September 2018, E. III./3). Mit anderen Worten muss die Rechtsschrift eine minimale rechtliche Begründung enthalten, wenn eine unrichtige Rechtsanwendung geltend gemacht wird (vgl. etwa OGer ZH LB140047 vom 5. Februar 2015, E. III./1a; LB160044 vom 23. Dezember 2016, E. I./4).</w:t>
      </w:r>
    </w:p>
    <w:p>
      <w:r>
        <w:rPr>
          <w:b/>
        </w:rPr>
        <w:t>E. 3</w:t>
      </w:r>
    </w:p>
    <w:p>
      <w:r>
        <w:t>Die Klägerin bringt dagegen in der Berufungsbegründung vor, die entspre- chenden Anträge seien im Verfahren betreffend vorsorgliche Massnahmen bereits rechtskräftig erledigt worden, so dass sie die Anträge zu Recht im Rahmen des Hauptverfahrens erneut gestellt habe. Soweit die Vorinstanz den Begriff "umge- hend" als Ausdruck für ein Massnahmenbegehren verstanden habe, hätte dies nicht zu einer Ungültigkeit des Antrags führen dürfen, vielmehr wäre der Antrag dahingehend zu korrigieren gewesen, dass die Mitteilung an das Grundbuchamt frühestens mit dem Entscheid, jedoch vor Rechtskraft des Urteils hätte erfolgen sollen. Indem die Vorinstanz wegen des Begriffs "umgehend" auf diese Begehren nicht eingetreten sei, habe diese ihre Prüfungspflicht verletzt, zumal die Vorin- stanz nicht geltend mache, die Anträge seien nicht ausreichend fundiert begrün- det gewesen. Zudem sei die Vorinstanz damit in überspitzten Formalismus verfal- len (act. 2 Rz 2 f.).</w:t>
      </w:r>
    </w:p>
    <w:p>
      <w:r>
        <w:t>- 12 - Entgegen der Vorinstanz sei sodann keineswegs unklar, was (mit den Grundbuchsperren, Ergänzung hinzugefügt) bezweckt werde, gehe es doch um die Verhinderung einer Veräusserung der Liegenschaften zu ihrem Nachteil. Das vorinstanzliche Verfahren habe vier Jahre gedauert, und sie, die Klägerin, habe nie auf einen baldigen Abschluss hoffen können, vielmehr habe sie damit rechnen müssen, dass eine der Parteien ein Rechtsmittel ergreifen würde. Auch wenn sich der Beklagte in keiner Weise mit dem Streitverfahren befasst habe, sei eine An- fechtung seinerseits nicht ausgeschlossen. Die beantragten Grundbuchsperren seien daher auch im Rahmen des Hauptverfahrens angebracht (act. 2 Rz 3 S. 6 f.).</w:t>
      </w:r>
    </w:p>
    <w:p>
      <w:r>
        <w:rPr>
          <w:b/>
        </w:rPr>
        <w:t>E. 4</w:t>
      </w:r>
    </w:p>
    <w:p>
      <w:r>
        <w:t>Die Ausführungen der Klägerin in der Berufungsbegründung lassen vor al- lem zwei Dinge erkennen: Erstens hat sie in der massgeblichen Eingabe (act. 87) die Grundbuchsperren sowie die Verfügungsbeschränkungen vor Vorinstanz, wie von dieser richtig interpretiert, im Rahmen des Hauptverfahrens und nicht als vor- sorgliche Massnahme stellen wollen. Zweitens hat die anwaltlich vertretene Klä- gerin nicht verstanden, dass dies aus rechtlichen Gründen nicht geht: Grundlage für eine Grundbuchsperre (oder eine Verfügungsbeschränkung) zur Sicherung von möglichen finanziellen Ansprüchen könnte lediglich Art. 178 ZGB sein. Diese Norm ist allerdings nur anwendbar im Eheschutzverfahren sowie im Verfahren be- treffend vorsorgliche Massnahmen in einem Scheidungsverfahren. Ihrem proviso- rischen Charakter entsprechend können solche Sicherungsmassnahmen nur während der Dauer des Verfahrens gelten, und sie fallen mit der Ausfällung des Urteils in der Sache dahin (BGE 120 III 67 E. 2.). Sicherungsmassnahmen ge- mäss Art. 178 ZGB kommen demnach nicht in Frage, soweit es darum geht, im Urteil zugesprochene Ansprüche zu schützen. Hierfür fehlt es nicht nur an einer Rechtsgrundlage im ZGB, vielmehr hat die Vollstreckung von Geldforderungen, wie die Vorinstanz zu Recht festgehalten hat, nach den Regeln des SchKG zu er- folgen. Das SchKG sieht als vorsorgliche Massnahme eine Arrestlegung auf Ver- mögensstücke des Schuldners vor, wenn die Voraussetzungen der Art. 271 ff. SchKG erfüllt sind. Dass es der Klägerin um die Sicherung von Geldleistungen geht, ergibt sich schon aus der Formulierung der Anträge (Grundbuchsperren resp. Verfügungsbeschränkungen "bis zur Begleichung sämtlicher Ansprüche der</w:t>
      </w:r>
    </w:p>
    <w:p>
      <w:r>
        <w:t>- 13 - Berufungsklägerin"), und die Klägerin bestätigt das in der Berufungsbegründung denn auch (act. 2 Rz 3 S. 8).</w:t>
      </w:r>
    </w:p>
    <w:p>
      <w:r>
        <w:rPr>
          <w:b/>
        </w:rPr>
        <w:t>E. 5</w:t>
      </w:r>
    </w:p>
    <w:p>
      <w:r>
        <w:t>Die Vorinstanz hat damit zu Recht die als Begehren in der Sache beantrag- ten Grundbuchsperren resp. Verfügungsbeschränkungen abgewiesen.</w:t>
      </w:r>
    </w:p>
    <w:p>
      <w:r>
        <w:rPr>
          <w:b/>
        </w:rPr>
        <w:t>E. 6</w:t>
      </w:r>
    </w:p>
    <w:p>
      <w:r>
        <w:t>Wie gesehen (oben, E. III.1.) beantragt die Klägerin überdies die Rücküber- tragung der im Eigentum der I._____ GmbH stehenden Grundstücke an den Be- klagten (act. 2, Anträge 1.5 f.).</w:t>
      </w:r>
    </w:p>
    <w:p>
      <w:r>
        <w:rPr>
          <w:b/>
        </w:rPr>
        <w:t>E. 6.1</w:t>
      </w:r>
    </w:p>
    <w:p>
      <w:r>
        <w:t>Die Vorinstanz hat hierzu ausgeführt, es sei keine Gesetzesgrundlage für eine solche gerichtlich angeordnete Übertragung der Grundstücke an den Beklag- ten ersichtlich. Der Klägerin gehe es um eine Vollstreckungsmassnahme: Die Klägerin habe ausgeführt, in Analogie zu einer bereits im strittigen Scheidungs- verfahren gesprochenen Schuldneranweisung sei auch die Rücküberführung von Liegenschaften mittels direkter Anweisung des Gerichts an das Grundbuchamt bereits im Rahmen des Scheidungsurteils möglich, ohne dass zuvor Inkassomas- snahmen versucht werden müssten, wäre es doch unbillig, von einer Partei vor- erst dieses aussichtslose Vorgehen zu verlangen, bevor diese mittels separatem Begehren die Rückübertragung der Liegenschaften zwecks Vollstreckung des Scheidungsurteils beim Gericht beantrage. Entgegen der Klägerin könne die Voll- streckung ihrer Ansprüche aus Güterrecht und Vorsorgeausgleich indes keine Rücküberführung der Liegenschaften ins Alleineigentum des Beklagten nach sich ziehen. Die Klägerin beantrage keine Zusprechung einer der Liegenschaften an sich selbst. Ihre Ansprüche seien über das SchKG zu vollstrecken (act. 127 E. VII.3.f. S. 31 f.).</w:t>
      </w:r>
    </w:p>
    <w:p>
      <w:r>
        <w:rPr>
          <w:b/>
        </w:rPr>
        <w:t>E. 6.2</w:t>
      </w:r>
    </w:p>
    <w:p>
      <w:r>
        <w:t>Entgegen dem Vorbringen der Klägerin in der Berufungsbegründung (act. 2 Rz 6 S. 10) hat die Vorinstanz die Rückführung der Liegenschaften von der vom Beklagten (zusammen mit dessen Tochter aus einer früheren Beziehung) ge- gründeten GmbH ins Alleineigentum des Beklagten demnach nicht nur deshalb abgewiesen, weil diese Anträge ungewöhnlich sind. Die Klägerin bezeichnet auch in der Berufungsbegründung die Rückübertragung der Liegenschaften auf den Beklagten als "einzige Chance für sie, ihre Ansprüche durchzusetzen" (a.a.O.),</w:t>
      </w:r>
    </w:p>
    <w:p>
      <w:r>
        <w:t>- 14 - womit sie bestätigt, dass es ihr um die Vollstreckung ihrer Ansprüche geht. Diese hätte indes, wie bereits die Vorinstanz zu Recht ausführte, mit den Mitteln des SchKG zu erfolgen. Wenn die Klägerin der Überzeugung ist, der Beklagte habe die Liegenschaften in Schädigungsabsicht und überdies schenkungshalber in die Gesellschaft eingebracht, um diese ihrem Zugriff zu entziehen (act. 2 S. 7), so hätte sie offensichtlich den Weg der paulianischen Anfechtung zu beschreiten. Ebenso fehl geht die Klägerin, wenn sie der Vorinstanz vorwirft, die Disposi- tionsmaxime verletzt zu haben und mit ihrem Entscheid unaufgefordert die Inte- ressen einer Partei wahrzunehmen (act. 2 Rz 8 S. 11; ähnlich schon act. 2 Rz 5 S. 9). Die Dispositionsmaxime beschlägt die Frage, was beantragt wird (Art. 58 ZPO). Richtig ist, dass der Beklagte die Anträge der Klägerin nicht abgelehnt hat. Die Vorinstanz hat den Antrag der Klägerin indes aus rechtlichen Gründen abge- wiesen, und hierzu hatte sie entgegen der Klägerin nicht nur die Kompetenz, son- dern vielmehr die Pflicht, obliegt die Rechtsanwendung doch dem Gericht (iura novit curia; Art. 57 ZPO). Auch insoweit zielt die Berufung damit ins Leere.</w:t>
      </w:r>
    </w:p>
    <w:p>
      <w:r>
        <w:rPr>
          <w:b/>
        </w:rPr>
        <w:t>E. 7</w:t>
      </w:r>
    </w:p>
    <w:p>
      <w:r>
        <w:t>Die Berufung ist damit vollumfänglich abzuweisen. IV. Kosten- und Entschädigungsfolgen Die Klägerin unterliegt vollumfänglich. Die Kosten des vorliegenden Verfahrens sind ihr damit grundsätzlich ausgangsgemäss aufzuerlegen (Art. 106 Abs. 1 ZPO). Die anwaltlich vertretene Klägerin beantragt die unentgeltliche Rechtspfle- ge inklusive unentgeltlicher Rechtsverbeiständung (act. 2 S. 3). Ein Anspruch auf unentgeltliche Rechtspflege besteht indes nur dann, wenn das geltend gemachte Rechtsbegehren nicht aussichtslos erscheint (Art. 117 lit. b ZPO). An dieser Vo- raussetzung gebricht es vorliegend. Das entsprechende Gesuch ist daher abzu- weisen. Die Klägerin möchte mit den vor Berufungsinstanz allein noch streitgegen- ständlichen Grundbuchsperren resp. Rückübertragungen der Grundstücke in das Alleineigentum des Beklagten die Begleichung ihrer Ansprüche aus Güterrecht sowie aus Vorsorgeausgleich absichern. Der massgebliche Streitwert beträgt da-</w:t>
      </w:r>
    </w:p>
    <w:p>
      <w:r>
        <w:t>- 15 - mit Fr. 458'000.–. Die Grundgebühr gemäss § 4 Abs. 1 GebV OG beträgt dem- nach rund Fr. 20'000.–. Diese ist indes aufgrund der Einfachheit des Falles und unter Berücksichtigung des infolgedessen beschränkten Zeitaufwands auf einen Fünftel und damit auf Fr. 4'000.– zu reduzieren (§ 4 Abs. 2 i.V.m. § 12 Abs. 1 und 2 GebV OG). Parteientschädigungen sind keine zuzusprechen, der Klägerin nicht, weil sie unterliegt, dem Beklagten nicht, da ihm keine Aufwendungen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