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LC220011 vom 9. Juni 2023</w:t>
      </w:r>
    </w:p>
    <w:p>
      <w:r>
        <w:t>ZH Obergericht, 2023-06-09, DE</w:t>
      </w:r>
    </w:p>
    <w:p>
      <w:r>
        <w:rPr>
          <w:b/>
        </w:rPr>
        <w:t xml:space="preserve">Quelle: </w:t>
      </w:r>
      <w:r>
        <w:t>https://mcp.opencaselaw.ch/entscheid/zh_obergericht_LC220011</w:t>
      </w:r>
    </w:p>
    <w:p>
      <w:r>
        <w:t>FR: ZH_OBERGERICHT LC220011 du 9 juin 2023</w:t>
      </w:r>
    </w:p>
    <w:p>
      <w:r>
        <w:t>IT: ZH_OBERGERICHT LC220011 del 9 giugno 2023</w:t>
      </w:r>
    </w:p>
    <w:p>
      <w:pPr>
        <w:pStyle w:val="Heading2"/>
      </w:pPr>
      <w:r>
        <w:t>Erwägungen</w:t>
      </w:r>
    </w:p>
    <w:p>
      <w:r>
        <w:rPr>
          <w:b/>
        </w:rPr>
        <w:t>E. 1</w:t>
      </w:r>
    </w:p>
    <w:p>
      <w:r>
        <w:t>Mit Urteil vom 16. August 2012 wurde die Ehe der Parteien geschieden. Die elterliche Sorge für die am tt. Januar 1997 geborene Tochter C._____ wurde der Beklagten und Berufungsklägerin (nachfolgend Beklagte) zugeteilt, und der Klä- ger und Berufungsbeklagte (nachfolgend Kläger) verpflichtete sich in der vom Ge- richt genehmigten Scheidungskonvention zur Bezahlung von Kindesunterhalt für C._____ und ebenso zu nachehelichen Unterhaltsbeiträgen ab 1. Juni 2012 bis Ende April 2026 von Fr. 10'500.-- (act. 5/19 = act. 3). Am 29. Juli 2020 reichte der Kläger bei der Vorinstanz eine Abänderungsklage ein und verlangte mit Wirkung ab 1. August 2020, es sei die nacheheliche Unterhaltspflicht gegenüber der Be- klagten (im Sinne der vorne wiedergegebenen Anträge) zu reduzieren (act. 1 S. 2). Er begründete seine Klage primär damit, dass sich einerseits sein Einkommen seit dem Scheidungsurteil infolge Stellenverlustes um mehr als die Hälfte verrin- gert habe und sich andererseits der Bedarf der Beklagten erheblich reduziert und sich ihr Einkommen gleichzeitig erhöht habe (act. 22 S. 6 ).</w:t>
      </w:r>
    </w:p>
    <w:p>
      <w:r>
        <w:t>- 6 -</w:t>
      </w:r>
    </w:p>
    <w:p>
      <w:r>
        <w:rPr>
          <w:b/>
        </w:rPr>
        <w:t>E. 1.1</w:t>
      </w:r>
    </w:p>
    <w:p>
      <w:r>
        <w:t>Der Streitwert im vorinstanzlichen Verfahren beträgt rund Fr. 480'000.-- (69 Monate x Fr. 10'500.-- ./. rund Fr. 244'420.--). Die Parteien beanstanden die Höhe der gestützt auf § 4 GebV festgelegten Gerichtsgebühr von Fr. 15'200.-- durch die Vorinstanz nicht (act. 50 S. 26 Dispositivziffer 2). Sie beanstanden auch nicht die Höhe der festgesetzten Parteientschädigung von Fr. 20'000.-- (zzgl. MwSt; act. 50 S. 24, S. 26 Dispositivziffer 4). Angefochten ist die Verteilung der Kosten und der Entschädigung.</w:t>
      </w:r>
    </w:p>
    <w:p>
      <w:r>
        <w:t>- 16 -</w:t>
      </w:r>
    </w:p>
    <w:p>
      <w:r>
        <w:rPr>
          <w:b/>
        </w:rPr>
        <w:t>E. 1.2</w:t>
      </w:r>
    </w:p>
    <w:p>
      <w:r>
        <w:t>Der Kläger sprach sich im vorinstanzlichen Verfahren für Unterhaltszahlun- gen im Betrag von insgesamt Fr. 244'420.-- aus, die Beklagte dagegen für den Betrag von Fr. 724'500.--. Im Ergebnis wird der Kläger verpflichtet, der Beklagten einen Betrag von insgesamt Fr. 443'503.-- zu bezahlen (7 Monate x Fr. 5'196; 24 Monate x Fr. 8'270; 38 Monate x Fr. 5'491). Der Kläger obsiegt damit im vorin- stanzlichen Verfahren zu rund 60%, und er unterliegt dementsprechend zu rund 40%. Die Beklagte obsiegt zu 40% und unterliegt zu 60%. Entsprechend ist die vorinstanzliche Entscheidgebühr von Fr. 15'200.-- (E. IV./1.1.) dem Kläger zu 40% und der Beklagten zu 60% aufzuerlegen. Die Be- klagte ist zu verpflichten, dem Kläger für das vorinstanzliche Verfahren eine auf 20% reduzierte Parteientschädigung von Fr. 4'000.-- zzgl. 7.7% MwSt zu bezah- len.</w:t>
      </w:r>
    </w:p>
    <w:p>
      <w:r>
        <w:rPr>
          <w:b/>
        </w:rPr>
        <w:t>E. 2</w:t>
      </w:r>
    </w:p>
    <w:p>
      <w:r>
        <w:t>Die Vorinstanz führte am 21. Oktober 2020 eine Einigungsverhandlung und nach einfachem Schriftenwechsel am 21. Juni 2021 die Hauptverhandlung durch. Am 11. Januar 2022 fand die Beweisverhandlung mit anschliessender Stellung- nahme zum Beweisergebnis statt (zum vorinstanzlichen Verfahrensgang auch act. 50 [= 45 = 49/1] S. 3-4, nachfolgend nur noch als act. 50 zitiiert). Mit Urteil vom 14. Februar 2022 wurde die Abänderungsklage gemäss vorstehend wieder- gegebenem Urteilsdispositiv teilweise gutgeheissen (act. 50 S. 25 f.). Die Vorin- stanz war zusammengefasst zum Schluss gekommen, es liege beim Kläger eine dauerhafte Verschlechterung der Einkommensverhältnisse vor, was zu einer Re- duktion der nachehelichen Unterhaltszahlungen führe. Der Kläger als Unterhalts- schuldner lebe aber nach wie vor in nicht bescheidenen Vermögensverhältnissen. Beide Parteien würden über Vermögen verfügen, weshalb in (den beiden) Pha- sen, in welchen der Bedarf der Beklagten nicht durch laufendes Einkommen des Klägers gedeckt werden könne, der Unterhalt der Beklagten durch je hälftigen Vermögensverzehr zu decken sei (vgl. im Einzelnen E. III./2., II./5.-8.).</w:t>
      </w:r>
    </w:p>
    <w:p>
      <w:r>
        <w:rPr>
          <w:b/>
        </w:rPr>
        <w:t>E. 2.1</w:t>
      </w:r>
    </w:p>
    <w:p>
      <w:r>
        <w:t>Die Beklagte sprach sich im Berufungsverfahren für Unterhaltszahlungen im Betrag von insgesamt Fr. 552'054.-- aus, der Kläger schliesst auf Bestätigung des Betrages von Fr. 381'598.--, wie er von der Vorinstanz entschieden wurde. Der Streitwert beträgt demnach rund Fr. 170'456.--. Die Entscheidgebühr ist in An- wendung der §§ 12 Abs. 1-2 und 4 GebV OG auf Fr. 3'800.-- festzusetzen (vgl. auch 52 S. 3 [Verfügung der Kammer vom 20. Oktober 2022]). Im Ergebnis wird der Kläger verpflichtet, der Beklagten einen Betrag von insgesamt Fr. 443'503.-- zu bezahlen (7 Monate x Fr. 5'196; 24 Monate x Fr. 8'270; 38 Monate x Fr. 5'491). Der Kläger obsiegt damit im Berufungsverfahren zu rund 60%, und er unterliegt dementsprechend zu 40%. Die Beklagte obsiegt zu 40% und unterliegt zu 60%. Entsprechend ist die Entscheidgebühr von Fr. 3'800.-- (E. IV./2.1.) dem Kläger zu 40% und der Beklagten zu 60% aufzuerlegen. Die Beklagte hat im Sinne von Art. 98 ZPO einen Kostenvorschuss von Fr. 3'800.-- geleistet (act. 54). Die Ge- richtskosten sind gestützt auf Art. 111 Abs. 1 ZPO mit dem von der Beklagten ge- leisteten Kostenvorschuss zu verrechnen. Der Kläger hat der Beklagten den Kos- tenvorschuss im Umfang von Fr. 1'520.-- zu ersetzen.</w:t>
      </w:r>
    </w:p>
    <w:p>
      <w:r>
        <w:rPr>
          <w:b/>
        </w:rPr>
        <w:t>E. 2.2</w:t>
      </w:r>
    </w:p>
    <w:p>
      <w:r>
        <w:t>Die Beklagte ist zu verpflichten, dem Kläger in Anwendung von Art. 106 Abs. 1 und 2 ZPO und §§ 13 Abs. 1 und 2, 4 Abs. 1 bis 3, 11 Abs. 1 AnwGebV für</w:t>
      </w:r>
    </w:p>
    <w:p>
      <w:r>
        <w:t>- 17 - das Berufungsverfahren eine Parteientschädigung zu bezahlen. Der Anspruch auf die Grundgebühr war mit der Erstattung der Berufungsantwort entstanden. Ande- rerseits ist auch im Berufungsverfahren zu berücksichtigen, dass wiederkehrende Leistungen (Unterhaltsbeiträge) im Streit lagen, was für eine Ermässigung der Entschädigung spricht. Das Verfahren war vor der Berufungsinstanz zudem nicht umfangreich und schwierig. Die Beklagte ist nach Massgabe ihres Unterliegens zu verpflichten, dem Kläger eine auf 20% reduzierte Parteientschädigung von Fr. 800.-- (zzgl. MwSt) zu bezahlen. Es wird beschlossen:</w:t>
      </w:r>
    </w:p>
    <w:p>
      <w:r>
        <w:rPr>
          <w:b/>
        </w:rPr>
        <w:t>E. 3</w:t>
      </w:r>
    </w:p>
    <w:p>
      <w:r>
        <w:t>Rz 4). 4.3. Der Kläger macht im Abänderungsverfahren geltend, der Bedarf der Beklag- ten habe sich reduziert (act. 22 Rz 8, Rz 49), er substantiiert die aktuellen einzel- nen Bedarfspositionen der Beklagten (act. 22 S. Rz 30 ff., act. 31 Rz 33 ff.), ohne aber - mit Ausnahme der Wohn- und Garagekosten - im Einzelnen Bezug zu nehmen auf die der Scheidung zugrunde gelegten Bedarfspositionen der Beklag- ten. Die Beklagte hält unter Verweis auf ihren Bedarf im Zeitpunkt der Scheidung an einem gebührenden Bedarf von Fr. 10'500.-- fest (act. 27 Rz 10.1. f., Prot. VI S. 13). Das Einzelgericht stellte für die Festlegung des relevanten Bedarfs der Beklagten auf die Berechnung des Klägers ab. Es begründete die Vorgehenswei- se damit, dass die Beklagte zwar einen eigenen angepassten gebührenden Be- darf von monatlich Fr. 9'720.-- geltend mache, ohne aber zu den einzelnen Be- darfspositionen Behauptungen aufzustellen oder zu den entsprechenden Behaup- tungen des Klägers Stellung zu nehmen (act. 50 S. 19). Grundsätzlich kann sich die Gegenpartei darauf beschränken, eine Behauptung zu bestreiten. Sie muss</w:t>
      </w:r>
    </w:p>
    <w:p>
      <w:r>
        <w:t>- 11 - aber genau angeben, was sie bestreitet. Pauschale Bestreitungen reichen nicht aus. Ausnahmsweise darf das Gericht von der Gegenpartei substantiierte Bestrei- tungen verlangen. Je detaillierter eine Partei die Streitsache darlegt, desto höher sind die Anforderungen an die Bestreitung der Gegenpartei. Wenn der Kläger ei- ne detaillierte Rechnung aufführt, muss die beklagte Partei im Einzelnen ange- ben, welche Positionen sie bestreitet. Tut sie das nicht, gilt die Rechnung als un- bestritten (BGE 144 III 519 E. 5.2.2.2. und E. 5.2.2.3.). Im Lichte dieser höchst- richterlichen Rechtsprechung sind die Erwägungen des Einzelgerichts kohärent. Tatsächlich hat die Beklagte im Vergleich zur spezifizierten Aufstellung des Klä- gers nur pauschale Ausführungen zu ihrem aktuellen Bedarf gemacht. Nur, in ei- nem Abänderungsverfahren ist von den im Scheidungsurteil festgelegten finanzi- ellen Eckdaten bzw. Positionen auszugehen. Eine Nachprüfung oder gar Korrek- tur (von einzelnen [Bedarfs-]Positionen) hat zu unterbleiben. Es sind die der Scheidung zugrunde gelegten Bedarfspositionen zu aktualisieren, weshalb bspw. die Aufnahme neuer Bedarfspositionen im Abänderungsverfahren zu unterbleiben hat. Selbst wenn im Abänderungsverfahren infolge des erheblich reduzierten Ein- kommens nach der zweistufigen Methode gerechnet werden muss, ist der Abän- derungsrichter auf Angaben zu den im Scheidungsurteil berücksichtigten Bedarf- spositionen und den damit zusammenhängenden Wertungen angewiesen. Es hät- te deshalb zunächst am Kläger gelegen, in einem Vergleich die jeweilige be- tragsmässige Reduktion, die sich zwischenzeitlich für die einzelnen Bedarfspositi- onen der Beklagten ergeben hat, aufzuzeigen, um Grundlage für die Aktualisie- rung zu schaffen. Darauf weist die Beklagte zu Recht hin (act. 48 S. 4 f.). Behaup- tungs- und Beweislast für Tatsachen, die zu einer Reduktion der Unterhaltsbeiträ- ge führen, trägt der Abänderungskläger. Eine Bezugnahme zu den Bedarfspositi- onen im Scheidungsurteil drängt sich umso mehr auf, als lediglich bekannt ist, dass die Parteien damals einen monatlichen Unterhaltsbetrag von Fr. 10'500.-- als angemessen erachtet hatten. Die Wertungen der damals vorgenommenen Un- terhaltsberechnung sind, wie erwähnt, nicht bekannt, weshalb sich eine Aktuali- sierung der Berechnung auch nicht an im abzuändernden Entscheid vorgenom- menen Beurteilungen orientieren kann.</w:t>
      </w:r>
    </w:p>
    <w:p>
      <w:r>
        <w:t>- 12 - 4.4. Konkret macht der Kläger geltend, die Kosten für die Wohnung und die Ga- rage hätten sich zwischenzeitlich um insgesamt Fr. 230.-- reduziert und verlangt die Herausgabe des aktuellen Mietvertrages von der Beklagten (act. 22 Rz 32, act. 31 Rz 35). Die Beklagte schweigt sich über den aktuellen Mietzins für Woh- nung und Garage aus (act. 27 Rz 10.2., Prot. VI S. 13). Die fehlende (spezifische) Bestreitung der Beklagten angesichts der substantiierten Behauptung des Klägers führt dazu, dass im Sinne des Klägers von niedrigeren Kosten für die Wohnung und die Garage auszugehen sind (./. Fr. 230.-- pro Monat). Die Beklagte aner- kennt sodann einen gebührenden Bedarf von Fr. 9'720.-- aufgrund veränderter Steuerlast infolge reduzierter Unterhaltsbeiträge (act. 27 Rz 10.3.). Auf diesem Betrag ist die Beklagte zu behaften.</w:t>
      </w:r>
    </w:p>
    <w:p>
      <w:r>
        <w:rPr>
          <w:b/>
        </w:rPr>
        <w:t>E. 5</w:t>
      </w:r>
    </w:p>
    <w:p>
      <w:r>
        <w:t>Die Beklagte anerkennt eigene Vermögenserträge im Betrag von Fr. 1'450.-- pro Monat. Sie lässt sich diese Einkünfte an ihren Bedarf anrechnen (act. 27 Rz 14, act. 48 S. 8). Es bleibt ein monatlicher Bedarf der Beklagten von Fr. 8'270.-- (Fr. 9'720.-- ./. Fr. 1'450.--), welcher zu decken ist. 6.1. In den Phasen 2 und 3 genügt das (unbestrittene) monatliche Einkommen des Klägers von Fr. 14'088.--, um den eigenen (unbestrittenen) Bedarf des Klä- gers (von Fr. 4'006.-- bzw. Fr. 3'413.--) und den Bedarf der Beklagten (von Fr. 8'270.--) zu decken (act. 50 S. 20). Es resultiert für die Phasen 2 und 3, das heisst neu Phase 2, ein Unterhaltsanspruch ab 1. März 2021 bis Ende Februar 2023 von Fr. 8'270.--. 6.2. Wie der Einzelrichter bereits ausführte, genügt in den Phasen 1 und 4 das monatliche Einkommen des Klägers von Fr. 6'125.--- nicht, um den (unbestritte- nen) Bedarf des Klägers (von Fr. 4'006.-- bzw. Fr. 3'413.--) und den Bedarf der Beklagten (von Fr. 8'270.--) zu decken (act. 50 S. 20). Es ist dem Kläger in der Phase 1 nur begrenzt möglich, aus seinem eigenen Einkommen den Bedarf der Beklagten zu decken, nämlich im Betrag von Fr. 2'119.-- (Fr. 6'125.-- ./. Fr. 4'006.--). In der Phase 4 ist es dem Kläger mit seinem Einkommen möglich, den Bedarf der Beklagten im Betrag von Fr. 2'712.-- zu decken (Fr. 6'125.-- ./. Fr. 3'413.--).</w:t>
      </w:r>
    </w:p>
    <w:p>
      <w:r>
        <w:t>- 13 - 7.1. Der Einzelrichter erachtete als zumutbar, Vermögen für den laufenden Un- terhalt einzusetzen. Er kam nach Referenzierung der höchstrichterlichen Recht- sprechung (BGE 147 III 395 ff.) und nach Darstellung der Vermögensverhältnisse der Parteien zum Schluss, es sei angemessen, das sich in den Phasen 1 und 4 ergebende Manko je zur Hälfte mittels Vermögensverzehr der beiden Parteien zu decken (act. 50 S. 21-23). Der Kläger ist mit einem hälftigen Vermögensverzehr einverstanden (act. 57 Rz 17), wohingegen die Beklagte aufgrund der unter- schiedlichen Höhe der Vermögen eine Belastung der Vermögensmassen im Ver- hältnis drei zu eins gesprochen haben will (act. 48 S. 8). 7.2. Es trifft mit der Beklagten zwar zu, dass die wirtschaftlichen Perspektiven der Parteien in den Jahren nach der Scheidung im Jahr 2012 und bis mindestens zur Kündigung des Arbeitsverhältnisses des Klägers im Jahr 2020 ungleich wa- ren. Es blieb unbestritten, dass der Kläger nach der Scheidung rund Fr. 2.6 Mio in die Pensionskasse einzahlen konnte, und sein heutiges Vorsorgeguthaben rund Fr. 4.6 Mio beträgt (act. 27 Rz 4.1., 4.2.; act. 31 Rz 8, 10, act. 48 S. 8, act. 57 Rz 16; act. 32/34 [Steuererklärung 2020, Einzahlung von Fr. 600'000]). Ebenso blieb unbestritten, dass der Kläger vor dem (Neu-)Bau seines Elternhauses über liquide Mittel von Fr. 2.8. Mio verfügt hatte (Stand Scheidung Fr. 2 Mio), und er im Zeitraum 2019 bis 2021 rund Fr. 1.4. Mio in das neu gebaute Einfamilienhaus in- vestiert hatte, wo er seit Oktober 2021 wohnt (Prot. VI S. 29 ff.). Der Kläger konn- te demnach seine Vermögenssituation nach der Scheidung aus eigenen Mitteln um rund Fr. 3.4 Mio verbessern (Fr. 2.6 Mio + Fr. 0.8 Mio), während die Beklagte ihr Vermögen nicht mehren konnte. Es trifft zu, dass sich die Vermögensverhält- nisse der Parteien zum jetzigen Stand im Verhältnis drei zu eins präsentieren (Fr. 5.4 Mio zu Fr. 1.8 Mio), was für eine Belastung der Vermögensmassen im Verhältnis drei zu eins sprechen würde (act. 48 S. 3). Nur, mit Blick auf die Einkommensverhältnisse der Parteien im Zeitpunkt der Scheidung war klar, dass der Kläger nach Bezahlung seines eigenen Bedarfs und der Bezahlung der Unterhaltsbeiträge wird Vermögen bilden können, dies im Ge- gensatz zur Beklagten. Die Beklagte verfügt über das Vermögen, welches aus der güterrechtlichen Auseinandersetzung resultierte und sich inzwischen allerdings</w:t>
      </w:r>
    </w:p>
    <w:p>
      <w:r>
        <w:t>- 14 - um Fr. 200'000.-- reduziert hat. Mangels anderer Angaben ist sodann davon aus- zugehen, dass die Beklagte noch über das ihr im Scheidungsurteil zugesproche- ne Vorsorgeguthaben verfügt. Beide Parteien erhielten aus der güterrechtlichen Auseinandersetzung je Fr. 2 Mio Vermögen, und die Ansprüche auf Leistungen aus der Pensionskasse (des Klägers) wurden ebenso hälftig geteilt, was ein Vor- sorgeguthaben von je rund Fr. 1.3 Mio ergab (Scheidungsurteil vom 16. August 2012 [act. 5/19] S. 2 ff., Dispositivziffer 3./6.). 7.3. Beide Parteien leben nach wie vor in günstigen, der Kläger sogar in ausser- ordentlich günstigen finanziellen Verhältnissen. Das für den Unterhaltsanspruch massgebende sehr hohe Einkommen des Klägers ist inzwischen weggefallen aus Gründen, die nicht dem Kläger anzulasten sind. Eine Arbeitgeberkündigung hat zur Herabsetzung der Leistungsfähigkeit des Klägers geführt. Auch wenn grund- sätzlich Vereinbarungen wie gerichtlich genehmigte Scheidungskonventionen zu erfüllen sind, verpflichtete sich der Kläger nicht zur Bezahlung von unabänderli- chen und unwiderruflichen Unterhaltsbeiträgen. Die in der Scheidungskonvention beinhaltete Verpflichtung zur Bezahlung der Unterhaltsbeiträge enthält deshalb die Befugnis des Klägers, bei (unverschuldeter) Veränderung der Verhältnisse ei- ne Herabsetzung der Unterhaltsbeiträge zu verlangen. 7.4. Ein Vermögensverbrauch des Klägers ist unbestritten. Hinsichtlich der fest- zusetzenden Höhe des monatlich dem Vermögen zu entnehmenden Beitrages ist das Gericht auf sein Ermessen verwiesen. Eine mehr als hälftige Belastung der klägerischen Vermögensmassen bedeutete eine überproportionale Partizipation der Beklagten am Vermögen des Klägers, welches der Kläger nach der Schei- dung gespart hat. Angesichts dessen, dass der Vermögensverzehr doch eher Ausnahmecharakter hat, ist mit Blick auf die nacheheliche Solidarität die von der Vorinstanz vorgenommene hälftige Vermögensbelastung angemessen in Anbe- tracht des eigenen Vermögens und des eigenen Vorsorgeguthabens der Beklag- ten. Das eigene Vermögen ermöglicht der Beklagten auch längerfristig die Bezah- lung ihres Lebensunterhaltes. Andere Gründe als die unterschiedliche Höhe der Vermögen macht die Beklagte für eine überproportionale Vermögensbelastung nicht geltend. Es bleibt bei der Belastung der beiden Vermögensmassen zu glei-</w:t>
      </w:r>
    </w:p>
    <w:p>
      <w:r>
        <w:t>- 15 - chen Teilen, um den gebührenden Unterhalt der Beklagten in den Phasen 1 und 4 zu decken. 7.5. Für die Beklagte resultieren somit in der Phase 1 vom 1. August 2020 bis Ende Februar 2021 monatliche Unterhaltsbeiträge von Fr. 5'195.--, wovon Fr. 2'119.-- aus dem Einkommensüberschuss des Klägers sowie Fr. 3'076.-- durch hälftigen Anteil aus klägerischem Vermögensverzehr zu finanzieren sind. Für die (neue) Phase 3 ab 1. März 2023 bis zum Ablauf der vereinbarten Unter- haltsdauer im April 2026 ergeben sich monatliche Unterhaltsbeiträge für die Be- klagte im Betrag von Fr. 5'491.--, davon Fr. 2'712.-- aus dem Einkommensüber- schuss des Klägers sowie Fr. 2'779.-- durch hälftigen Anteil des Verzehrs der klä- gerischen Vermögens.</w:t>
      </w:r>
    </w:p>
    <w:p>
      <w:r>
        <w:rPr>
          <w:b/>
        </w:rPr>
        <w:t>E. 8</w:t>
      </w:r>
    </w:p>
    <w:p>
      <w:r>
        <w:t>Der Kläger ist in Abänderung des Scheidungsurteils zu verpflichten, der Be- klagten folgende monatliche Unterhaltsbeiträge zu bezahlen, zahlbar im Voraus auf den ersten eines jeden Monats: - Fr. 5'195.-- ab 1. August 2020 bis Ende Februar 2021 (Phase 1); - Fr. 8'270.-- ab 1. März 2021 bis Ende Februar 2023 (Phase 2); - Fr. 5'491.-- ab 1. März 2023 bis Ende April 2026 (Phase 3). IV. Es bleibt die Regelung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