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LC220006 vom 28. November 2022</w:t>
      </w:r>
    </w:p>
    <w:p>
      <w:r>
        <w:t>ZH Obergericht, 2022-11-28, DE</w:t>
      </w:r>
    </w:p>
    <w:p>
      <w:r>
        <w:rPr>
          <w:b/>
        </w:rPr>
        <w:t xml:space="preserve">Quelle: </w:t>
      </w:r>
      <w:r>
        <w:t>https://mcp.opencaselaw.ch/entscheid/zh_obergericht_LC220006</w:t>
      </w:r>
    </w:p>
    <w:p>
      <w:r>
        <w:t>FR: ZH_OBERGERICHT LC220006 du 28 novembre 2022</w:t>
      </w:r>
    </w:p>
    <w:p>
      <w:r>
        <w:t>IT: ZH_OBERGERICHT LC220006 del 28 novembre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Auch innert dieser vom Bundesgericht angesetzten Nachfrist leistete die Be- klagte den ihr im Berufungsverfahren auferlegten Kostenvorschuss nicht. Andro- hungsgemäss (vgl. Urk. 536 S. 3 sowie Urk. 545 S. 6) ist daher auf ihre Berufung nicht einzutreten.</w:t>
      </w:r>
    </w:p>
    <w:p>
      <w:r>
        <w:rPr>
          <w:b/>
        </w:rPr>
        <w:t>E. 3</w:t>
      </w:r>
    </w:p>
    <w:p>
      <w:r>
        <w:t>Das Berufungsverfahren beschlägt eine nicht vermögensrechtliche Angele- genheit (elterliche Sorge etc.). Die zweitinstanzliche Entscheidgebühr ist in An- wendung von § 6 Abs. 1, § 10 Abs. 1 und § 12 GebV OG auf Fr. 1'000.– festzu- setzen. Diese Kosten sind ausgangsgemäss der Beklagten aufzuerlegen (Art. 106 Abs. 1 ZPO). Für das Berufungsverfahren sind keine Parteientschädigungen zuzuspre- chen, der Beklagten zufolge ihres Unterliegens, dem Kläger und Berufungsbe- klagten sowie den Verfahrensbeteiligten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