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LC220003 vom 14. April 2022</w:t>
      </w:r>
    </w:p>
    <w:p>
      <w:r>
        <w:t>ZH Obergericht, 2022-04-14, DE</w:t>
      </w:r>
    </w:p>
    <w:p>
      <w:r>
        <w:rPr>
          <w:b/>
        </w:rPr>
        <w:t xml:space="preserve">Quelle: </w:t>
      </w:r>
      <w:r>
        <w:t>https://mcp.opencaselaw.ch/entscheid/zh_obergericht_LC220003</w:t>
      </w:r>
    </w:p>
    <w:p>
      <w:r>
        <w:t>FR: ZH_OBERGERICHT LC220003 du 14 avril 2022</w:t>
      </w:r>
    </w:p>
    <w:p>
      <w:r>
        <w:t>IT: ZH_OBERGERICHT LC220003 del 14 aprile 2022</w:t>
      </w:r>
    </w:p>
    <w:p>
      <w:pPr>
        <w:pStyle w:val="Heading2"/>
      </w:pPr>
      <w:r>
        <w:t>Erwägungen</w:t>
      </w:r>
    </w:p>
    <w:p>
      <w:r>
        <w:rPr>
          <w:b/>
        </w:rPr>
        <w:t>E. 1</w:t>
      </w:r>
    </w:p>
    <w:p>
      <w:r>
        <w:t>Die Parteien wurden mit Urteil des Bezirksgerichts Bülach vom 11. April 2016 geschieden und deren Scheidungsvereinbarung in besagtem Scheidungsur- teil genehmigt. Der Kläger und Berufungskläger (nachfolgend Kläger) machte vor Vorinstanz mit Eingabe vom 30. November 2020 eine Klage auf Abänderung des Scheidungsurteils hängig (act. 1). Nachdem an der Einigungsverhandlung keine Einigung hatte erzielt werden können, fand am 26. März 2021 die Hauptverhand- lung statt. An dieser Verhandlung erstatteten die Parteien ihre Parteivorträge, zu- dem erfolgte eine Parteibefragung (Prot. Vi S. 6 ff.). Eine Einigung konnte wiede- rum nicht herbeigeführt werden. Die Vorinstanz fällte daraufhin ohne förmliches Beweisverfahren am 28. Oktober 2021 das angefochtene Urteil (act. 31 = act. 42/A = act. 43/1 [Aktenexemplar], nachfolgend zitiert als act. 43/1).</w:t>
      </w:r>
    </w:p>
    <w:p>
      <w:r>
        <w:rPr>
          <w:b/>
        </w:rPr>
        <w:t>E. 1.1</w:t>
      </w:r>
    </w:p>
    <w:p>
      <w:r>
        <w:t>Die nach Eingang der Berufung zu prüfenden Rechtsmittelvoraussetzungen sind erfüllt. Die Berufung wurde form- und fristgerecht erhoben und mit Anträgen und Begründung versehen. Dem Eintreten steht damit grundsätzlich nichts entge- gen.</w:t>
      </w:r>
    </w:p>
    <w:p>
      <w:r>
        <w:rPr>
          <w:b/>
        </w:rPr>
        <w:t>E. 1.2</w:t>
      </w:r>
    </w:p>
    <w:p>
      <w:r>
        <w:t>Der Kläger stellt in seiner Berufungsschrift erstens den Antrag, in Abände- rung des erstinstanzlichen Urteils für den Zeitraum vom 1.12.2020 bis 31.12.2022 den nachehelichen Unterhalt an die Beklagte von monatlich Fr. 1'250.– auf Fr. 950.– zu reduzieren, wobei der Kläger für berechtigt zu erklären sei, den Wohnrechtszins von Fr. 2'750.– im Monat mit diesen Unterhaltsbeiträgen zu ver- rechnen. Der zweite Antrag bezieht sich auf den nachehelichen Unterhaltsbeitrag im Zeitraum ab dem 1.1.2023 (vgl. die Anträge im Wortlaut oben, S. 4 f.). Das angefochtene Urteil setzte den nachehelichen Unterhalt indes nur für den Zeitraum vom 1.12.2020 bis 31.12.2021 auf Fr. 1'250.– fest, während es für den Zeitraum vom 1.1.2022 bis 31.12.2022 nacheheliche Unterhaltsbeiträge von Fr. 2'467.– (bis 30.9.2022) bzw. von Fr. 2'087.– (Oktober 2022) bzw. von Fr. 1'500.– (November und Dezember 2022) festgelegt hat (act. 43/1, Disp.-Ziff. 1 lit. b-d [im Wortlaut oben, S. 2 f.]). Aus der Begründung der Berufungsschrift (act. 41 S. 5 f.) ergibt sich indes, dass der Kläger beantragt, über den gesamten Zeitraum hinweg – d.h. vom 1.12.2020 bis 31.12.2022 – die Unterhaltszahlungen so zu reduzieren, dass er der Beklagten keinen Unterhalt schulde, der über das Wohnrecht im Wert von Fr. 2'750.– pro Monat hinaus geht, mit welchem die Un- terhaltszahlungen zu verrechnen seien. Damit scheint das erste Rechtsbegehren des Klägers so zu verstehen zu sein, dass er über den gesamten Zeitraum vom 1.12.2020 bis 31.12.2022 die auf Fr. 1'250.– resp. Fr. 2'467.– resp. 2'087.– fest- gesetzten nachehelichen Unterhaltsbeiträge auf Fr. 950.– reduziert haben möch- te, so dass er bis Ende 2022 keinerlei Unterhaltszahlungen schulde, indem er für berechtigt zu erklären sei, den monatlichen nachehelichen Unterhaltsbeitrag von Fr. 950.– sowie den monatlichen Kinderunterhalt von Fr. 1'800.– mit dem Wohn- rechtszins von Fr. 2'750.– pro Monat zu verrechnen.</w:t>
      </w:r>
    </w:p>
    <w:p>
      <w:r>
        <w:t>- 7 - Ist das Vorbringen einer Partei unklar, so greift, falls die Unklarheit nicht auf vorwerfbarer Unsorgfalt beruht, die gerichtliche Fragepflicht (Art. 56 ZPO). Vor- bringen im Sinne dieser Bestimmung sind auch die Anträge (OFK ZPO-SARBACH,</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 weise auf die Vorakten genügen nicht (vgl. ZK ZPO-REETZ/THEILER, 3. Aufl. 2016, Art. 311 N 36 f.).</w:t>
      </w:r>
    </w:p>
    <w:p>
      <w:r>
        <w:t>- 8 -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 Ist – wie vorliegend – vor der Berufungsinstanz ausschliesslich nacheheli- cher Unterhalt angefochten, so gilt der Verhandlungsgrundsatz (Art. 277 Abs. 1 i.V.m. Art. 55 Abs. 1 ZPO). 3.1. Neue Tatsachen und Beweismittel dürfen nur noch berücksichtigt werden, wenn sie ohne Verzug vorgebracht werden und trotz zumutbarer Sorgfalt nicht schon vor erster Instanz vorgebracht werden konnten (Art. 317 Abs. 1 ZPO). Die-</w:t>
      </w:r>
    </w:p>
    <w:p>
      <w:r>
        <w:t>- 9 -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3.2. Der Kläger stützt seine Berufungsschrift bzw. seine Anträge, bis Ende 2022 keine und in der Zeit danach reduzierte Unterhaltsbeiträge leisten zu müssen auf den Umstand, dass er im April 2021 eine sehr beunruhigende medizinische Diag- nose erhalten habe, welche seine Arbeitsfähigkeit im gesamten Jahr 2021 stark beeinträchtigt habe (act. 41 S. 3 oben). Einige Absätze weiter macht der Kläger in der Berufungsschrift geltend, er habe "im Frühsommer 2021, d.h. einige Monate nach Durchführung der Einigungs- und späteren Hauptverhandlung" eine schwerwiegende und beunruhigende medizinische Diagnose erhalten (act. 41 S.</w:t>
      </w:r>
    </w:p>
    <w:p>
      <w:r>
        <w:rPr>
          <w:b/>
        </w:rPr>
        <w:t>E. 3</w:t>
      </w:r>
    </w:p>
    <w:p>
      <w:r>
        <w:t>, letzter Absatz). Allein diese zeitlichen Angaben, treffen so nicht zu, wie sich aus den (nicht übersetzten) italienischsprachigen Arztzeugnissen ergibt, welche der Kläger zur Untermauerung seines Vortrags mit der Berufung einreichte: Der Kläger erhielt die Diagnose eines Karzinoms anlässlich einer Darmspiegelung am 24. März 2021 (act. 42/1, act. 42/3) und damit sogar noch knapp vor der Haupt- verhandlung vom 26. März 2021. Das Entscheiddatum des angefochtenen Urteils ist der 28. Oktober 2021, versandt wurde dieses anfangs Dezember 2021 (act. 33 f.), wobei der Kläger nicht geltend macht – und solches wäre auch aus den Akten nicht ersichtlich –, dass den Parteien vorgängig zum Entscheid angezeigt worden wäre, die Streitsache befinde sich im Stadium der Urteilsberatung, mit entspre- chender Auswirkung auf die Berücksichtigung von Noven. Es ist nicht ersichtlich, weshalb der Kläger in den mehr als sieben Monaten zwischen Hauptverhandlung und Urteilsfällung das nunmehr mit der Berufung geltend gemachte Novum nicht bei der Vorinstanz vorbrachte, und der Kläger äussert sich hierzu mit keinem Wort. Er macht mithin insbesondere auch nicht geltend, dass ihm dies unzumut- bar gewesen wäre. Solcherlei ist im Übrigen auch aus den nunmehr eingereichten</w:t>
      </w:r>
    </w:p>
    <w:p>
      <w:r>
        <w:t>- 10 - Arztzeugnissen und Berichten, welche vor dem vorinstanzlichen Entscheid datie- ren (act. 42/1-6), nicht ersichtlich.</w:t>
      </w:r>
    </w:p>
    <w:p>
      <w:r>
        <w:rPr>
          <w:b/>
        </w:rPr>
        <w:t>E. 3.3</w:t>
      </w:r>
    </w:p>
    <w:p>
      <w:r>
        <w:t>Der Kläger ist demnach mit seinem Vortrag, er habe im April resp. Früh- sommer 2021 [recte: März 2021] eine sehr beunruhigende Diagnose erhalten und sei infolgedessen im gesamten Jahr 2021 in seiner Arbeitsfähigkeit stark beein- trächtigt gewesen, im vorliegenden Berufungsverfahren nicht zu hören. Es handelt sich dabei im Berufungsverfahren um ein unzulässiges unechtes Novum.</w:t>
      </w:r>
    </w:p>
    <w:p>
      <w:r>
        <w:rPr>
          <w:b/>
        </w:rPr>
        <w:t>E. 4</w:t>
      </w:r>
    </w:p>
    <w:p>
      <w:r>
        <w:t>Über das unzulässige unechte Novum hinaus macht der Kläger keinerlei Gründe geltend, weshalb das angefochtene Urteil fehlerhaft sein sollte. Das führt dazu, dass seine Berufung abzuweisen ist.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