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LC210008 vom 21. Oktober 2021</w:t>
      </w:r>
    </w:p>
    <w:p>
      <w:r>
        <w:t>ZH Obergericht, 2021-10-21, DE</w:t>
      </w:r>
    </w:p>
    <w:p>
      <w:r>
        <w:rPr>
          <w:b/>
        </w:rPr>
        <w:t xml:space="preserve">Quelle: </w:t>
      </w:r>
      <w:r>
        <w:t>https://mcp.opencaselaw.ch/entscheid/zh_obergericht_LC210008</w:t>
      </w:r>
    </w:p>
    <w:p>
      <w:r>
        <w:t>FR: ZH_OBERGERICHT LC210008 du 21 octobre 2021</w:t>
      </w:r>
    </w:p>
    <w:p>
      <w:r>
        <w:t>IT: ZH_OBERGERICHT LC210008 del 21 ottobre 2021</w:t>
      </w:r>
    </w:p>
    <w:p>
      <w:pPr>
        <w:pStyle w:val="Heading2"/>
      </w:pPr>
      <w:r>
        <w:t>Erwägungen</w:t>
      </w:r>
    </w:p>
    <w:p>
      <w:r>
        <w:rPr>
          <w:b/>
        </w:rPr>
        <w:t>E. 1</w:t>
      </w:r>
    </w:p>
    <w:p>
      <w:r>
        <w:t>Ausgangslage</w:t>
      </w:r>
    </w:p>
    <w:p>
      <w:r>
        <w:rPr>
          <w:b/>
        </w:rPr>
        <w:t>E. 1.1</w:t>
      </w:r>
    </w:p>
    <w:p>
      <w:r>
        <w:t>A._____ (fortan Klägerin) und B._____ (fortan Beklagter) strengten je ge- sondert die Scheidung ihrer Ehe an, sie mit Eingabe vom 24. April 2020 bei der Vorinstanz (Urk. 1), er mit Schreiben vom 20. März 2020 beim Amtsgericht Waldshut-Tiengen in Deutschland (Urk. 4/4).</w:t>
      </w:r>
    </w:p>
    <w:p>
      <w:r>
        <w:rPr>
          <w:b/>
        </w:rPr>
        <w:t>E. 1.2</w:t>
      </w:r>
    </w:p>
    <w:p>
      <w:r>
        <w:t>Die Vorinstanz sistierte das vorliegende Verfahren zunächst und schrieb es dann mit Verfügung vom 18. Dezember 2020 infolge in Deutschland durchgeführ- ter Scheidung der Parteien als erledigt ab (Urk. 20 = Urk. 23). Gegen diesen Ent- scheid geht die Klägerin in Berufung (Urk. 22).</w:t>
      </w:r>
    </w:p>
    <w:p>
      <w:r>
        <w:rPr>
          <w:b/>
        </w:rPr>
        <w:t>E. 2</w:t>
      </w:r>
    </w:p>
    <w:p>
      <w:r>
        <w:t>Prozessgeschichte</w:t>
      </w:r>
    </w:p>
    <w:p>
      <w:r>
        <w:rPr>
          <w:b/>
        </w:rPr>
        <w:t>E. 2.1</w:t>
      </w:r>
    </w:p>
    <w:p>
      <w:r>
        <w:t>Mit Schreiben vom 22. Februar 2021 erhob die Klägerin Berufung mit dem Antrag, dass die vorinstanzliche Verfügung aufzuheben und die Sache zur Weiter- führung des Scheidungsverfahrens an die Vorinstanz zurückzuweisen sei (Urk. 22 S. 2). Die vorinstanzlichen Akten wurden beigezogen (Urk. 1-21). Mit Präsidialver- fügung vom 23. März 2021 wurde die Klägerin aufgefordert, einen Gerichtskos- tenvorschuss in Höhe von Fr. 2'000.– zu leisten; dem Beklagten wurde auf dem Rechtshilfeweg aufgegeben, eine auf seinen Rechtsanwalt lautende Originalvoll- macht einzureichen und angesichts seines Wohnsitzes in Deutschland ein Zustel- lungsdomizil in der Schweiz zu bezeichnen, ansonsten künftige gerichtliche Zu- stellungen an ihn durch Publikation im Amtsblatt erfolgen würden (Urk. 26). Der Vorschuss ist fristgerecht eingegangen (Urk. 28).</w:t>
      </w:r>
    </w:p>
    <w:p>
      <w:r>
        <w:rPr>
          <w:b/>
        </w:rPr>
        <w:t>E. 2.2</w:t>
      </w:r>
    </w:p>
    <w:p>
      <w:r>
        <w:t>Der Beklagte liess sich am 17. Mai 2021 gleichlautend per Fax (Urk. 29 - 31), E-Mail (Urk. 32-35) und postalisch (Urk. 29-A) vernehmen, bezeichnete eine Zustelladresse in Deutschland, reichte eine Vollmachtskopie ein und wies unter Beilage eines Beschlusses des Amtsgerichts Waldshut-Tiengen vom 12. April 2021 darauf hin, dass die Ehe der Parteien in Deutschland mittlerweile rechtskräf- tig geschieden sei. Mit Eingabe vom 27. Mai 2021 reichte er eine abgekürzte Aus- fertigung der deutschen Entscheidung mit Rechtskraftzeugnis nach (Urk. 37). Das</w:t>
      </w:r>
    </w:p>
    <w:p>
      <w:r>
        <w:t>- 4 - rechtliche Gehör der Klägerin betreffend die Nova wurde gewahrt, der Beklagte – auf dem Wege der Publikation im kantonalen Amtsblatt – zur Berufungsantwort aufgefordert und die Prozessleitung delegiert (Urk. 38). Die Publikation datiert vom 14. Juni 2021 (Urk. 39 f.). Der Beklagte hat sich innert Frist und bis heute nicht vernehmen lassen; das Berufungsverfahren erweist sich als spruchreif.</w:t>
      </w:r>
    </w:p>
    <w:p>
      <w:r>
        <w:rPr>
          <w:b/>
        </w:rPr>
        <w:t>E. 3</w:t>
      </w:r>
    </w:p>
    <w:p>
      <w:r>
        <w:t>Berufungsvoraussetzungen</w:t>
      </w:r>
    </w:p>
    <w:p>
      <w:r>
        <w:rPr>
          <w:b/>
        </w:rPr>
        <w:t>E. 3.1</w:t>
      </w:r>
    </w:p>
    <w:p>
      <w:r>
        <w:t>Nach Eingang der Berufung prüft die Rechtsmittelinstanz von Amtes we- gen das Vorliegen der Rechtsmittelvoraussetzungen. Die Berufung ging rechtzei- tig (Urk. 21/1 und 22), schriftlich begründet und mit konkreten Anträgen versehen bei der Rechtsmittelinstanz ein. Die Klägerin ist durch das vorinstanzliche Urteil beschwert und zur Rechtsmittelerhebung legitimiert; für das Rechtsmittel gegen den vorinstanzlichen Entscheid ist das angerufene Obergericht zuständig.</w:t>
      </w:r>
    </w:p>
    <w:p>
      <w:r>
        <w:rPr>
          <w:b/>
        </w:rPr>
        <w:t>E. 3.2</w:t>
      </w:r>
    </w:p>
    <w:p>
      <w:r>
        <w:t>Die Berufung ist ein reformatorisches und vollständiges Rechtsmittel. Im Berufungsverfahren sind daher in aller Regel bestimmte Rechtsbegehren in der Sache zu stellen, und zwar so, dass diese Anträge zum Dispositiv des zweitin- stanzlichen Urteils erhoben werden können. Auf Berufung hin bestätigt die Beru- fungsinstanz das angefochtene Urteil oder entscheidet neu; eine Rückweisung hat die Ausnahme zu bleiben (BGE 137 III 617 E. 4.3). Nur in seltenen Fällen, nämlich wenn ein Entscheid in der Sache von vornherein nicht möglich ist, ver- mag ein blosser Rückweisungsantrag zu genügen. Das trifft etwa dann zu, wenn ein erstinstanzlicher Nichteintretensentscheid angefochten wird, der ergangen ist, ohne dass zuvor ein ordnungsgemässes Verfahren durchgeführt worden wäre (BGer 5A_775/2018 vom 15. April 2019, E. 3.4; Hungerbühler/Bucher, DIKE- Komm-ZPO, Art. 311 N 20 f.). Die Vorinstanz hat in der vorliegenden Sache noch nicht einmal zur Einigungsverhandlung vorgeladen (Art. 291 ZPO; vgl. Prot. I); in dieser Konstellation ist der von der Klägerin gestellte Rückweisungsantrag ausrei- chend und auf die Berufung ist einzutreten.</w:t>
      </w:r>
    </w:p>
    <w:p>
      <w:r>
        <w:rPr>
          <w:b/>
        </w:rPr>
        <w:t>E. 3.3</w:t>
      </w:r>
    </w:p>
    <w:p>
      <w:r>
        <w:t>Das Berufungsverfahren stellt keine Fortsetzung des erstinstanzlichen Ver- fahrens dar, sondern ist nach der gesetzlichen Konzeption als eigenständiges Verfahren ausgestaltet (BGE 142 III 413 E. 2.2.1 m.w.Hinw. auf die Botschaft zur</w:t>
      </w:r>
    </w:p>
    <w:p>
      <w:r>
        <w:t>- 5 -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voraus, dass der Berufungskläger die vorinstanzli- chen Erwägungen bezeichnet, die er anficht, sich argumentativ mit diesen ausei- nandersetzt und mittels genügend präziser Verweisungen auf die Akten aufzeigt, wo die massgebenden Behauptungen, Erklärungen, Bestreitungen und Einreden erhoben wurden bzw. aus welchen Aktenstellen sich der geltend gemachte Beru- fungsgrund ergeben soll. Die pauschale Verweisung auf frühere Vorbringen oder deren blosse Wiederholung genügen nicht (vgl. BGE 138 III 374 E. 4.3.1).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m.w.Hinw.). Insofern erfährt der Grundsatz "iura no- vit curia" (Art. 57 ZPO) im Berufungsverfahren eine Relativierung (BK ZPO I-Hurni, Art. 57 N 21 und N 39 ff.; Glasl, DIKE-Komm-ZPO, Art. 57 N 22).</w:t>
      </w:r>
    </w:p>
    <w:p>
      <w:r>
        <w:rPr>
          <w:b/>
        </w:rPr>
        <w:t>E. 3.4</w:t>
      </w:r>
    </w:p>
    <w:p>
      <w:r>
        <w:t>Neue Tatsachen und Beweismittel (Noven) können im Berufungsverfahren grundsätzlich nur unter den Voraussetzungen von Art. 317 Abs. 1 ZPO berück- sichtigt werden, das heisst, wenn sie ohne Verzug vorgebracht werden (lit. a) und trotz zumutbarer Sorgfalt nicht schon vor erster Instanz vorgebracht werden konn- ten (lit. b). Im Bereich des Untersuchungsgrundsatzes gemäss Art. 296 ZPO (be- treffend sämtliche Kinderbelange) können die Parteien mit der Berufung jedoch Noven vortragen, unabhängig davon, ob die Voraussetzungen von Art. 317 Abs. 1 ZPO erfüllt sind (BGE 144 III 349 E. 4.2.1).</w:t>
      </w:r>
    </w:p>
    <w:p>
      <w:r>
        <w:t>- 6 -</w:t>
      </w:r>
    </w:p>
    <w:p>
      <w:r>
        <w:rPr>
          <w:b/>
        </w:rPr>
        <w:t>E. 4</w:t>
      </w:r>
    </w:p>
    <w:p>
      <w:r>
        <w:t>Res iudicata</w:t>
      </w:r>
    </w:p>
    <w:p>
      <w:r>
        <w:rPr>
          <w:b/>
        </w:rPr>
        <w:t>E. 4.1</w:t>
      </w:r>
    </w:p>
    <w:p>
      <w:r>
        <w:t>Das schweizerische Gericht weist die Klage zurück, sobald ihm eine aus- ländische Entscheidung vorgelegt wird, die in der Schweiz anerkannt werden kann (Art. 9 Abs. 3 IPRG).</w:t>
      </w:r>
    </w:p>
    <w:p>
      <w:r>
        <w:rPr>
          <w:b/>
        </w:rPr>
        <w:t>E. 4.2</w:t>
      </w:r>
    </w:p>
    <w:p>
      <w:r>
        <w:t>Die Vorinstanz erwog, die Parteien hätten ihr mitgeteilt, dass das Schei- dungsverfahren am Amtsgericht Waldshut-Tiengen erledigt sei; das vorliegende Verfahren sei somit infolge durchgeführter Scheidung der Parteien als gegen- standslos abzuschreiben (Urk. 23 S. 2).</w:t>
      </w:r>
    </w:p>
    <w:p>
      <w:r>
        <w:rPr>
          <w:b/>
        </w:rPr>
        <w:t>E. 4.3</w:t>
      </w:r>
    </w:p>
    <w:p>
      <w:r>
        <w:t>Die Klägerin stellt sich in der Berufung auf den Standpunkt, sie sei davon ausgegangen, das Verfahren in Deutschland sei mangels Mitwirkung der Parteien erledigt worden. Mittlerweile sei das dortige Verfahren aber aufgrund einer Einga- be des Beklagten wieder aufgenommen worden. Es treffe nicht zu, dass das Scheidungsverfahren in Deutschland durchgeführt worden sei; es sei nicht ge- rechtfertigt, das Verfahren in der Schweiz als erledigt abzuschreiben. Aus dem Entscheid der deutschen Gerichte vom 11. November 2020 gehe klar hervor, dass das Verfahren mangels Mitwirkung der Parteien in Bezug auf die Berech- nung des Vorsorgeausgleichs abgeschrieben bzw. sistiert worden sei. Weder sei die Scheidung ausgesprochen noch über die Nebenfolgen entschieden worden. Es sei deshalb nicht nachvollziehbar, wie die Vorinstanz den Schluss habe ziehen können, die Scheidung sei in Deutschland vollständig durchgeführt worden. Mit dem Schreiben vom 17. Dezember 2020 an die Vorinstanz hätte auch klar sein sollen, dass sie nicht zum Ausdruck bringe, in Deutschland sei materiell ein um- fassendes Scheidungsurteil gefällt worden. Es sei eine Tatsache, dass der Be- klagte in Deutschland keine Anträge in Bezug auf die Nebenfolgen gestellt habe. In Bezug auf die Nebenfolgen sei die Vorinstanz zuständig, selbst wenn die Scheidungsklage hier später angehoben worden sei; die Rechtshängigkeit hin- sichtlich der Scheidungsfolgen sei in Deutschland noch gar nicht eingetreten (LGVE 2016 II Nr. 6 vom 26. Juli 2016). Ferner bestehe für die Kinderbelange ge- stützt auf das Haager Kinderschutzübereinkommen ohnehin zwingend eine aus- schliessliche Zuständigkeit am Aufenthaltsort der Kinder; die beiden Kinder der Parteien lebten bei ihr in der Schweiz. Gleichermassen bestehe im Bereich der</w:t>
      </w:r>
    </w:p>
    <w:p>
      <w:r>
        <w:t>- 7 - beruflichen Vorsorge eine ausschliessliche Zuständigkeit der Gerichte in der Schweiz. In Bezug auf die Nebenfolgen bestehe mithin eine Zuständigkeit in der Schweiz. Im Scheidungspunkt seien sich die Parteien im Übrigen einig. Entspre- chend sei die Vorinstanz anzuweisen, das Scheidungsverfahren in Bezug auf die Nebenfolgen an die Hand zu nehmen und zur Einigungsverhandlung vorzuladen (Urk. 22 S. 3 f.).</w:t>
      </w:r>
    </w:p>
    <w:p>
      <w:r>
        <w:rPr>
          <w:b/>
        </w:rPr>
        <w:t>E. 4.4</w:t>
      </w:r>
    </w:p>
    <w:p>
      <w:r>
        <w:t>Der Beklagte reichte der Kammer mit Eingabe vom 17. Mai 2021 unaufge- fordert den Scheidungsbeschluss des Familiengerichts Waldshut-Tiengen vom 12. April 2021 ein und hielt dafür, dass die Ehe der Parteien mittlerweile in Deutschland rechtskräftig geschieden worden sei (Urk. 29-A). Dazu hat sich die Klägerin nicht vernehmen lassen.</w:t>
      </w:r>
    </w:p>
    <w:p>
      <w:r>
        <w:rPr>
          <w:b/>
        </w:rPr>
        <w:t>E. 4.5</w:t>
      </w:r>
    </w:p>
    <w:p>
      <w:r>
        <w:t>Vor Vorinstanz wurde weder behauptet (Urk. 17 f.), die Ehe der Parteien sei in Deutschland rechtskräftig geschieden, noch wurde ein anerkennungsfähiger dahingehender Entscheid eingereicht (Urk. 19/1). Die Vorinstanz hat den Sach- verhalt falsch festgestellt und das Verfahren unberechtigt als erledigt abgeschrie- ben.</w:t>
      </w:r>
    </w:p>
    <w:p>
      <w:r>
        <w:rPr>
          <w:b/>
        </w:rPr>
        <w:t>E. 4.5.1</w:t>
      </w:r>
    </w:p>
    <w:p>
      <w:r>
        <w:t>Der Beklagte hat als zulässiges echtes Novum den Beschluss des deut- schen Familiengerichts vom 12. April 2021 eingereicht (Urk. 35/1; Urk. 37). Mit diesem Beschluss ist nunmehr dargetan, dass die Ehe der Parteien rechtskräftig geschieden wurde; die indirekte Zuständigkeit im Sinne von Art. 65 IPRG ist ge- geben, der Entscheid ist endgültig (Urk. 37) und Verweigerungsgründe nach Art. 27 IPRG wurden weder dargetan noch sind sie ersichtlich (vgl. Urk. 35/2); der fragliche Beschluss ist in der Schweiz anerkennungsfähig (Art. 9 Abs. 3 und Art. 25 ff. IPRG).</w:t>
      </w:r>
    </w:p>
    <w:p>
      <w:r>
        <w:rPr>
          <w:b/>
        </w:rPr>
        <w:t>E. 4.5.2</w:t>
      </w:r>
    </w:p>
    <w:p>
      <w:r>
        <w:t>Die Klägerin klagt im vorliegenden Verfahren auf Scheidung und damit ver- bunden auf Regelung der Nebenfolgen (Urk. 1 S. 2 f.). Für die Statusfrage ge- mäss Ziffer 1 des Rechtsbegehrens liegt nunmehr ein rechtskräftiger Entscheid vor; in diesem Punkt ist auf die vorliegende Klage nicht einzutreten (vgl. BGE 121 III 474 E. 2); das vorinstanzliche Dispositiv, mit welchem das Verfahren als durch Gegenstandslosigkeit erledigt abgeschrieben wurde, ist insofern zu präzisieren.</w:t>
      </w:r>
    </w:p>
    <w:p>
      <w:r>
        <w:t>- 8 - Es ist sodann nicht ersichtlich, inwiefern für die Zuständigkeit in Bezug auf die Nebenfolgen dem von der Klägerin pauschal angeführten Luzerner Entscheid be- treffend Beurteilung von Unterhaltssachen in Verfahren um vorsorgliche Mass- nahmen (LGVE 2016 II Nr. 6 vom 26. Juli 2016; Urk. 1 S. 4; Urk. 22 S. 4) eine Bedeutung zukäme, zumal vorliegend keine vorsorglichen Massnahmen zu beur- teilen sind. Gemäss Art. 64 IPRG besteht aber eine Zuständigkeit Schweizer Ge- richte auf Ergänzung ausländischer Scheidungsentscheide. Unter den gegebenen Umständen und angesichts der inzwischen gegebenen Prozessvoraussetzungen – für die örtliche Zuständigkeit gilt die perpetuatio fori (BGE 129 III 404 E. 4.3 f.; Urk. 22 S. 2) – rechtfertigt es sich, die vorliegende Klage im Übrigen nunmehr als Klage auf Ergänzung des deutschen Scheidungsurteils zu behandeln (vgl. Urk. 22 S. 4) und zur weiteren Veranlassung an die Vorinstanz zurückzuweisen.</w:t>
      </w:r>
    </w:p>
    <w:p>
      <w:r>
        <w:rPr>
          <w:b/>
        </w:rPr>
        <w:t>E. 5</w:t>
      </w:r>
    </w:p>
    <w:p>
      <w:r>
        <w:t>Kosten- und Entschädigungsfolge</w:t>
      </w:r>
    </w:p>
    <w:p>
      <w:r>
        <w:rPr>
          <w:b/>
        </w:rPr>
        <w:t>E. 5.1</w:t>
      </w:r>
    </w:p>
    <w:p>
      <w:r>
        <w:t>Bei diesem Ausgang ist für das zweitinstanzliche Verfahren lediglich eine Entscheidgebühr festzusetzen. Diese ist in Anwendung von § 6 Abs. 1 i.V.m. § 5 Abs. 1 sowie § 12 Abs. 1 und Abs. 2 GebV OG auf Fr. 2'000.– zu beziffern. Die Regelung der Prozesskosten des vorliegenden Berufungsverfahrens ist dem neu- en Entscheid der Vorinstanz vorzubehalten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