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LC200034 vom 22. September 2021</w:t>
      </w:r>
    </w:p>
    <w:p>
      <w:r>
        <w:t>ZH Obergericht, 2021-09-22, DE</w:t>
      </w:r>
    </w:p>
    <w:p>
      <w:r>
        <w:rPr>
          <w:b/>
        </w:rPr>
        <w:t xml:space="preserve">Quelle: </w:t>
      </w:r>
      <w:r>
        <w:t>https://mcp.opencaselaw.ch/entscheid/zh_obergericht_LC200034</w:t>
      </w:r>
    </w:p>
    <w:p>
      <w:r>
        <w:t>FR: ZH_OBERGERICHT LC200034 du 22 septembre 2021</w:t>
      </w:r>
    </w:p>
    <w:p>
      <w:r>
        <w:t>IT: ZH_OBERGERICHT LC200034 del 22 settembre 2021</w:t>
      </w:r>
    </w:p>
    <w:p>
      <w:pPr>
        <w:pStyle w:val="Heading2"/>
      </w:pPr>
      <w:r>
        <w:t>Erwägungen</w:t>
      </w:r>
    </w:p>
    <w:p>
      <w:r>
        <w:rPr>
          <w:b/>
        </w:rPr>
        <w:t>E. 1</w:t>
      </w:r>
    </w:p>
    <w:p>
      <w:r>
        <w:t>Nach einem langjährigen Scheidungsverfahren wurde die Ehe der Parteien mit Urteil des Bezirksgerichts March/SZ vom 30. Dezember 2016 geschieden. Die Tochter C._____, geb.tt.mm.2004, wurde unter die alleinige elterliche Sorge und Obhut der Beklagten und Berufungsbeklagten (fortan Beklagte) gestellt, wobei dem Kläger und Berufungskläger (fortan Kläger) kein Besuchsrecht eingeräumt wurde. Den vom Kläger dagegen erhobenen Rechtsmitteln an das Kantonsgericht und das Bundesgericht war kein Erfolg beschieden (Urk. 63 S. 2 mit Verweis auf BGer 5A_98/2019 vom 28. Februar 2019).</w:t>
      </w:r>
    </w:p>
    <w:p>
      <w:r>
        <w:rPr>
          <w:b/>
        </w:rPr>
        <w:t>E. 2</w:t>
      </w:r>
    </w:p>
    <w:p>
      <w:r>
        <w:t>Am 26. Juni 2019 reichte der Kläger bei der Vorinstanz eine Klage auf Ab- änderung des Scheidungsurteils ein (Geschäfts Nr. FP190059-L). Die Vorinstanz schrieb das Verfahren schliesslich mit Verfügung vom 15. Oktober 2019 zufolge Gegenstandslosigkeit ab. Hiergegen erhob der Kläger eine Rechtsverweige- rungsbeschwerde, welche die erkennende Kammer abwies, soweit sie darauf ein- trat (OGer ZH PC190037 vom 18. März 2020). 3.1. Mit Schreiben vom 15. November 2019 erhob der Kläger bei der Vorinstanz erneut Klage auf Abänderung des oberwähnten Scheidungsurteils gegen die Be- klagte (Urk. 1). Mit Verfügung vom 9. Dezember 2019 sistierte die Vorinstanz das Verfahren wegen noch fraglicher (und damit anderweitiger) Rechtshängigkeit des Abänderungsbegehrens vom 26. Juni 2019 (Urk. 3). Mit Verfügung vom 1. April 2020 setzte die Vorinstanz dem Kläger Frist zur Leistung eines Kostenvorschus- ses von Fr. 3'600.– an (Urk. 12). Mit Eingabe vom 30. April 2020 ersuchte der Kläger um unentgeltliche Rechtspflege (Urk. 14). Dieses Gesuch wies die Vorin- stanz mit Verfügung vom 2. Juni 2020 ab und setzte dem Kläger erneut Frist zur Leistung des Kostenvorschusses an (Urk. 24). Die dagegen erhobene Beschwer- de wies die Kammer am 24. August 2020 ab (Urk. 45; OGer ZH PC200027). 3.2. Mit Verfügung Z06 vom 7. September 2020 setzte die Vorinstanz dem Klä- ger wiederum Frist zur Leistung des Kostenvorschusses an (Urk. 46). Am</w:t>
      </w:r>
    </w:p>
    <w:p>
      <w:r>
        <w:t>- 4 - 22. September 2020 erkundigte sich der Kläger bei der Vorinstanz, ob mit der Ein- forderung des Kostenvorschusses zugewartet werden könne, bis rechtskräftig über das Gesuch um unentgeltliche Rechtspflege befunden sei (Urk. 49). Mit Ver- fügung Z07 vom 23. September 2020 wies die Vorinstanz das tags zuvor sinnge- mäss gestellte Gesuch des Klägers um Fristerstreckung resp. Abnahme der Frist zur Leistung des Kostenvorschusses, eventualiter um Ratenzahlung, ab und hielt fest, es bleibe bei der Fristansetzung zur Leistung des Kostenvorschusses ge- mäss Verfügung vom 7. September 2020 (Urk. 51). 3.3. Mit Schreiben vom 28. September 2020 ersuchte der Kläger um (a) Zuwar- ten mit Ansetzen einer Zahlungsfrist bis zum rechtskräftigen Entscheid über die Verweigerung der unentgeltlichen Rechtspflege, (b) Bewilligung von Ratenzah- lung, (c) Erstreckung der Zahlungsfrist, bis er wieder in die Schweiz einreisen könne, sowie (d) Wiedererwägung des Entscheids betreffend unentgeltliche Rechtspflege (Urk. 54). Mit Verfügung Z08 vom 1. Oktober 2020 wies die Vorin- stanz das Wiedererwägungsbegehren ab und setzte dem Kläger eine Nachfrist zur Leistung des Kostenvorschusses an (Urk. 56). Hiergegen erhob der Kläger mit Eingabe vom 19. Oktober 2020 Beschwerde, welcher mit Verfügung vom 23. Ok- tober 2020 einstweilen aufschiebende Wirkung zuerkannt wurde (Urk. 68 S. 5 Dispositiv-Ziff. 2; Geschäfts-Nr. PC200036). In der Zwischenzeit war die Vorin- stanz mit Verfügung vom 20. Oktober 2020 auf die Klage nicht eingetreten (Urk. 64 = Urk. 71, Dispositiv eingangs wiedergegeben).</w:t>
      </w:r>
    </w:p>
    <w:p>
      <w:r>
        <w:rPr>
          <w:b/>
        </w:rPr>
        <w:t>E. 4</w:t>
      </w:r>
    </w:p>
    <w:p>
      <w:r>
        <w:t>Der Entscheid über eine allfällige Parteientschädigung im Berufungsverfah- ren und die Verteilung der Prozesskosten des Berufungsverfahrens wird dem neuen Entscheid der Vorinstanz vorbehalten.</w:t>
      </w:r>
    </w:p>
    <w:p>
      <w:r>
        <w:rPr>
          <w:b/>
        </w:rPr>
        <w:t>E. 5</w:t>
      </w:r>
    </w:p>
    <w:p>
      <w:r>
        <w:t>Schriftliche Mitteilung an die Parteien, an den Kläger unter Beilage des Dop- pels von Urk. 87, sowie an die Vorinstanz, je gegen Empfangsschein.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um eine nicht vermögensrechtliche Angelegenheit. Die Beschwerde an das Bundesgericht hat keine aufschiebende Wirkung. Hinsichtlich des Fristenlaufs gelten die Art. 44 ff. BGG. Zürich, 22. September 2021 Obergericht des Kantons Zürich I. Zivilkammer Der Gerichtsschreiber: lic. iur. M. Hochuli versandt am: 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