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LC200016 vom 6. Januar 2021</w:t>
      </w:r>
    </w:p>
    <w:p>
      <w:r>
        <w:t>ZH Obergericht, 2021-01-06, DE</w:t>
      </w:r>
    </w:p>
    <w:p>
      <w:r>
        <w:rPr>
          <w:b/>
        </w:rPr>
        <w:t xml:space="preserve">Quelle: </w:t>
      </w:r>
      <w:r>
        <w:t>https://mcp.opencaselaw.ch/entscheid/zh_obergericht_LC200016</w:t>
      </w:r>
    </w:p>
    <w:p>
      <w:r>
        <w:t>FR: ZH_OBERGERICHT LC200016 du 6 janvier 2021</w:t>
      </w:r>
    </w:p>
    <w:p>
      <w:r>
        <w:t>IT: ZH_OBERGERICHT LC200016 del 6 gennaio 2021</w:t>
      </w:r>
    </w:p>
    <w:p>
      <w:pPr>
        <w:pStyle w:val="Heading2"/>
      </w:pPr>
      <w:r>
        <w:t>Erwägungen</w:t>
      </w:r>
    </w:p>
    <w:p>
      <w:r>
        <w:rPr>
          <w:b/>
        </w:rPr>
        <w:t>E. 1</w:t>
      </w:r>
    </w:p>
    <w:p>
      <w:r>
        <w:t>Die Parteien heirateten am tt. September 2001 in Australien. Ihrer Ehe sind drei Kinder entsprungen: C._____, geboren am tt.mm.2002, D._____, gebo- ren am tt.mm.2005, und E._____, geboren am tt.mm.2008 (Urk. 2). Mit Urteil des Bezirksgerichts Horgen vom 16. Mai 2014 wurde die Ehe der Parteien geschieden und wurden die Nebenfolgen geregelt. Die Kinder wurden unter der gemeinsamen elterlichen Sorge belassen. Die Teilvereinbarung der Parteien betreffend die Be- treuungsregelung wurde genehmigt und der damalige Beklagte und heutige Klä- ger und Berufungsbeklagte (fortan Kläger) verpflichtet, monatliche indexierte Kin-</w:t>
      </w:r>
    </w:p>
    <w:p>
      <w:r>
        <w:t>- 9 - derunterhaltsbeiträge von je Fr. 580.– pro Kind zuzüglich gesetzlicher und/oder vertraglicher Familien- und Ausbildungszulagen zu bezahlen. Die für die Kinder mit Verfügung vom 26. November 2012 angeordnete Besuchsrechtsbeistand- schaft wurde aufrecht erhalten. Der damaligen Klägerin und heutigen Beklagten und Berufungsklägerin (fortan Beklagte) wurden mangels Leistungsfähigkeit keine persönlichen Unterhaltsbeiträge zugesprochen (Urk. 4/170). Der Kläger verlangt die Abänderung des Scheidungsurteils mit dem eingangs wiedergegebenen Rechtsbegehren.</w:t>
      </w:r>
    </w:p>
    <w:p>
      <w:r>
        <w:rPr>
          <w:b/>
        </w:rPr>
        <w:t>E. 2</w:t>
      </w:r>
    </w:p>
    <w:p>
      <w:r>
        <w:t>Mit Eingabe vom 15. Juni 2017 (überbracht) machte der Kläger das Ab- änderungsverfahren bei der Vorinstanz anhängig (Urk. 1, 2 und 3/1-3). Bezüglich des Verlaufs des erstinstanzlichen Verfahrens kann auf die vorinstanzliche Dar- stellung verwiesen werden (Urk. 198 S. 4 ff.). Am 24. März 2020 erliess die Vor- instanz das vorstehend wiedergegebene Urteil (Urk. 183 = Urk. 198). Dagegen erhob die Beklagte mit Eingabe vom 19. Mai 2020 (unter Berücksichtigung der Verordnung über den Stillstand der Fristen in Zivil- und Verwaltungsverfahren zur Aufrechterhaltung der Justiz im Zusammenhang mit dem Coronavirus [COVID 19; SR 173.110.4]; Stillstand der Fristen vom 21. März 2020 bis 19. April 2020) recht- zeitig Berufung mit den obgenannten Rechtsbegehren (Urk. 197 i.V.m. Urk. 184/2). Auch der Kläger erhob eine eigene Berufung, welche bei der Kammer un- ter der Geschäfts-Nr. LC200015 angelegt wurde und auf die mit Beschluss vom 10. August 2020 nicht eingetreten worden ist. Die undatierte Berufungsantwort des Klägers ging hierorts fristgemäss am 18. September 2020 ein (Urk. 207). Mit E-Mail vom 14. Oktober 2020 erkundigte sich die Beiständin der Kinder, ob das Urteil des Bezirksgerichts Horgen bzw. dessen Dispositiv-Ziffer 12 in Rechtskraft erwachsen sei (Urk. 210). Mit Teilrechtskraftbeschluss vom 27. Oktober 2020 wurde die Rechtskraft der nicht angefochtenen Teile des Urteils vorgemerkt. Gleichzeitig wurde die Berufungsantwort der Beklagten zur Kenntnisnahme zuge- stellt (Urk. 211). Unterm 6. November 2020 reichte sie eine Stellungnahme ein, welche dem Kläger am 25. November 2020 samt Beilagen zur Kenntnisnahme zugestellt wurde (Urk. 216-219). Am 15. Dezember 2020 ging dazu hierorts eine undatierte Stellungnahme des Klägers ein. Das Verfahren ist spruchreif.</w:t>
      </w:r>
    </w:p>
    <w:p>
      <w:r>
        <w:t>- 10 -</w:t>
      </w:r>
    </w:p>
    <w:p>
      <w:r>
        <w:rPr>
          <w:b/>
        </w:rPr>
        <w:t>E. 2.1</w:t>
      </w:r>
    </w:p>
    <w:p>
      <w:r>
        <w:t>Die Entscheidgebühr für das Berufungsverfahren ist in Anwendung von § 12 Abs. 1 und 2 i.V.m. § 5 Abs. 1 und 2 und § 6 Abs. 1 GebV OG auf Fr. 3'000.– festzusetzen.</w:t>
      </w:r>
    </w:p>
    <w:p>
      <w:r>
        <w:rPr>
          <w:b/>
        </w:rPr>
        <w:t>E. 2.2</w:t>
      </w:r>
    </w:p>
    <w:p>
      <w:r>
        <w:t>Gemäss ständiger Praxis der erkennenden Kammer sind die Kosten des Verfahrens mit Bezug auf die Kinderbelange mit Ausnahme der Kinderunter- haltsbeiträge - unabhängig vom Verfahrensausgang - den Parteien je zur Hälfte aufzuerlegen und die Parteientschädigungen wettzuschlagen, wenn die Parteien unter dem Gesichtspunkt des Kindesinteresses gute Gründe zur Antragstellung hatten (Art. 107 Abs. 1 lit. c ZPO; ZR 84 Nr. 41). Die Kosten- und Entschädi-</w:t>
      </w:r>
    </w:p>
    <w:p>
      <w:r>
        <w:t>- 27 - gungsfolgen mit Bezug auf die Kinderunterhaltsbeiträge richten sich demgegen- über nach Obsiegen und Unterliegen. Vorliegend liegen einzig Kinderunterhalts- beiträge im Streit. Der Kläger unterliegt zu gut zwei Dritteln. Somit sind die zweit- instanzlichen Verfahrenskosten zu 2/3 dem Kläger und zu 1/3 der Beklagten auf- zuerlegen.</w:t>
      </w:r>
    </w:p>
    <w:p>
      <w:r>
        <w:rPr>
          <w:b/>
        </w:rPr>
        <w:t>E. 2.3</w:t>
      </w:r>
    </w:p>
    <w:p>
      <w:r>
        <w:t>Ausgangsgemäss hat der Kläger die Beklagte im Umfang seines Unter- liegens für das Berufungsverfahren zu entschädigen (Art. 106 Abs. 2 ZPO). Die Entschädigung bemisst sich nach § 5 Abs. 1 und 2, § 6 Abs. 1, § 11 Abs. 1 und 2 sowie § 13 Abs. 1 und 2 AnwGebV. Entsprechend ist die volle Parteientschädi- gung auf Fr. 5'000.– zuzüglich 7,7 % Mehrwertsteuer (Urk. 197 S. 8), und somit auf Fr. 5'385.– zu bemessen. Die auf 1/3 zu reduzierende Parteientschädigung, die der Kläger der Beklagten zu bezahlen hat, beträgt somit Fr. 1'795.–. 3. Die Beklagte ersucht um Gewährung der unentgeltlichen Rechtspflege für das Berufungsverfahren.</w:t>
      </w:r>
    </w:p>
    <w:p>
      <w:r>
        <w:rPr>
          <w:b/>
        </w:rPr>
        <w:t>E. 3</w:t>
      </w:r>
    </w:p>
    <w:p>
      <w:r>
        <w:t>Das Berufungsverfahren stellt keine Fortsetzung des erstinstanzlichen Verfahrens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wei- teren Eintretensvoraussetzung) voraus, dass der Berufungskläger die vorinstanz- lichen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w:t>
      </w:r>
    </w:p>
    <w:p>
      <w:r>
        <w:t>- 12 - hoben werden (vgl. BGE 142 III 413 E. 2.2.4 m.w.Hinw.). Insofern erfährt der Grundsatz "iura novit curia" (Art. 57 ZPO) im Berufungsverfahren eine Relativie- rung (BK ZPO I-Hurni, Art. 57 N 21 und N 39 ff.; Glasl, DIKE-Komm-ZPO, Art. 57 N 22). Für die Berufungsantwort gelten sinngemäss die gleichen formellen Begrün- dungsanforderungen wie für die Berufungsschrift (BGer 5A_660/2014 vom 17. Juni 2015, E. 4.2; 4A_258/2015 vom 21. Oktober 2015 E. 2.4.2; 4A_496/2016 vom 8. Dezember 2016, E. 2.2.2 m.H.). Diesen Anforderungen vermag die Beru- fungsantwort des Klägers (Urk. 207) weitgehend nicht zu genügen.</w:t>
      </w:r>
    </w:p>
    <w:p>
      <w:r>
        <w:rPr>
          <w:b/>
        </w:rPr>
        <w:t>E. 3.1</w:t>
      </w:r>
    </w:p>
    <w:p>
      <w:r>
        <w:t>Eine Person hat Anspruch auf unentgeltliche Rechtspflege, wenn sie nicht über die erforderlichen Mittel verfügt und ihr Rechtsbegehren nicht aus- sichtslos erscheint (Art. 117 ZPO). Ausserdem kann ihr eine unentgeltliche Rechtsvertretung bestellt werden, wenn dies zur Wahrung ihrer Rechte notwendig erscheint (Art. 118 Abs. 1 lit. c ZPO). Das Gericht entscheidet über Gesuche um unentgeltliche Rechtspflege im summarischen Verfahren. Die Gegenpartei im Hauptprozess ist in diesem Verfahren nicht förmlich Partei, denn das Verfahren ist ein solches zwischen dem Gesuchsteller und dem Staat (Huber, DIKE-Komm- ZPO, Art. 119 N 23). Auf die Einwendungen des Klägers zum beklagtischen Ge- such (Urk. 207 S. 3 ff.) braucht daher nicht weiter eingegangen zu werden.</w:t>
      </w:r>
    </w:p>
    <w:p>
      <w:r>
        <w:rPr>
          <w:b/>
        </w:rPr>
        <w:t>E. 3.2</w:t>
      </w:r>
    </w:p>
    <w:p>
      <w:r>
        <w:t>Die Beklagte legt in ihrem Gesuch glaubhaft dar, dass einem monatli- chen Nettoeinkommen von Fr. 3'163.40 (netto Fr. 2'898.– bei einem Arbeitspen- sum von 50% zuzüglich Anteil 13. Monatslohn, ohne Kinder- bzw. Ausbildungszu- lagen; recte: Fr. 3'139.50, vgl. oben E. III./3.4.2) ein diesen Betrag übersteigender zivilprozessualer Notbedarf gegenüber steht. Auf die einzelnen durch die Beklagte geltend gemachten Bedarfspositionen (Urk. 197 Rz 99 ff.) braucht nicht einge-</w:t>
      </w:r>
    </w:p>
    <w:p>
      <w:r>
        <w:t>- 28 - gangen zu werden. Selbst wenn vom erweiterten Notbedarf der Beklagten ausge- gangen wird, wie ihn die Vorinstanz errechnet hat (Urk. 198 S. 49 f.; Fr. 2'424.–), und ein Zuschlag von 25% auf den Grundbetrag gemacht wird (entsprechend Fr. 212.50; vgl. Huber, DIKE-Komm-ZPO, Art. 117 N 56), sowie den ungedeckten Unterhaltsbedarf der beiden minderjährigen Kinder von Fr. 1'053.– (Barbedarf D._____: Fr. 999.– ./. Fr. 250.– Kinderzulage ./. Fr. 225.– AHV-Kinderrente = Fr. 524.-; Barbedarf E._____: Fr. 1'004.– ./. Fr. 250.– Kinderzulage ./. Fr. 225.– AHV-Kinderrente = Fr. 529.–) berücksichtigt (vgl. Huber, DIKE-Komm-ZPO, Art. 117 N 33), übersteigt der Notbedarf der Beklagten ihr Einkommen. Die Beklagte hat ferner glaubhaft dargelegt, dass ihr Ehegatte mangels Leistungsfähigkeit nicht in der Lage ist, sie finanziell zu unterstützen (Urk. 197 Rz 109 ff.). Überdies ver- fügt sie über kein Vermögen, das über einen Notgroschen hinausgeht (Urk. 197 Rz 104 ff.). Dasselbe gilt grundsätzlich für ihren Ehemann (Urk. 197 Rz 125 ff.). Zwar verfügt er über die Stammanteile seiner GmbH und über eine Liegenschaft. Die Stammanteile kann er nicht veräussern, da er über seine GmbH Dienstleis- tungen als Musiker erbringt und diese somit eine Existenzgrundlage bildet (Urk. 197 Rz 130). Angesichts des Verkehrswerts der Liegenschaft, der hypothekari- schen Belastung und den Einkommensverhältnissen der Parteien erscheint es auch als glaubhaft, dass eine Aufstockung der Hypothek nicht in Frage kommt (Urk. 197 Rz 127 ff.). Die Mittellosigkeit der Beklagten ist daher zu bejahen. Da ih- re Anträge nicht als aussichtslos bezeichnet werden können und sie zur Bewälti- gung des Prozesses auf die Unterstützung eines Rechtsvertreters angewiesen war, ist ihr für das Berufungsverfahren die unentgeltliche Rechtspflege zu gewäh- ren und Rechtsanwalt lic. iur. X._____ als unentgeltlicher Rechtsvertreter zu be- stellen. Die Beklagte ist auf das Nachforderungsrecht des Staats gemäss Art. 123 ZPO hinzuweisen. Es wird beschlossen:</w:t>
      </w:r>
    </w:p>
    <w:p>
      <w:r>
        <w:rPr>
          <w:b/>
        </w:rPr>
        <w:t>E. 3.3</w:t>
      </w:r>
    </w:p>
    <w:p>
      <w:r>
        <w:t>Die Beklagte macht ferner geltend, das von der Vorinstanz gewählte Vorgehen verletze den Gleichbehandlungsgrundsatz. Sie habe den errechneten Überschuss, offenbar ausgehend von der Idee der Gleichbehandlung der drei Kinder, je zu einem Drittel auf die drei Kinder verteilt. Eine Gleichbehandlung werde damit aber nicht erreicht, was sich schon daran zeige, dass die zwei min- derjährigen Kinder über ein deutlich höheres Manko verfügen würden als der äl- teste Sohn C._____. Die Kinder seien nicht einfach betragsmässig gleich zu be- handeln. Es sei zudem nicht nachvollziehbar, weshalb im Resultat bei den beiden minderjährigen Kindern ein mehr als doppelt so hohes Defizit resultieren sollte als beim volljährigen Kind. Bei C._____ sei zudem, auch ohne Unterhalt, bei genaue- rer Betrachtung gar kein Defizit vorhanden (Urk. 197 Rz 32 ff.). Es gilt der Grundsatz, dass alle unterhaltsberechtigten Kinder vom Pflichti- gen im Verhältnis zu ihren objektiven Bedürfnissen finanziell gleich zu behandeln sind. Der verbleibende Überschuss ist auf alle unterhaltsberechtigten Kinder nach Massgabe ihrer jeweiligen Bedürfnisse und der Leistungsfähigkeit des anderen Elternteils zu verteilen (BGE 137 III 59 E. 4.2; BGE 127 III 68 E. 2.c; BGE 126 III 353 E. 2.b). Der Grundsatz der Geschwistergleichbehandlung ist insoweit relativ, als die Kinder nicht betragsmässig, sondern nach Massgabe ihrer Bedürfnisse (wirtschaftliche Rahmenbedingungen des Haushalts, in dem sie leben, konkreter Ausbildungsbedarf und -chancen, etc.) gleich zu behandeln sind (BSK ZGB I- Fountoulakis, Art. 285 N 26 m.H.). Inwiefern vorliegend eine Ungleichbehandlung der Kinder vorliegen soll, ist weder dargetan noch ersichtlich. Im Zeitpunkt der Ur- teilsfällung vor Vorinstanz waren alle drei Kinder minderjährig und in Ausbildung.</w:t>
      </w:r>
    </w:p>
    <w:p>
      <w:r>
        <w:t>- 21 - Die wirtschaftlichen Rahmenbedingungen des klägerischen Haushalts, in wel- chem C._____ lebt, sind nicht besser als jene des beklagtischen Haushalts. Der Umstand allein, dass die beiden jüngeren Kinder ein höheres Manko verzeichnen als ihr Bruder C._____, begründet keine Ungleichbehandlung und ist einzig der Tatsache geschuldet, dass C._____ mit seinem Lehrlingslohn bereits an seinen Unterhalt beizutragen hat.</w:t>
      </w:r>
    </w:p>
    <w:p>
      <w:r>
        <w:rPr>
          <w:b/>
        </w:rPr>
        <w:t>E. 3.4</w:t>
      </w:r>
    </w:p>
    <w:p>
      <w:r>
        <w:t>Die Beklagte beanstandet sodann, die Vorinstanz lege im Ergebnis zu- gunsten von C._____ ausschliesslich Volljährigenunterhalt fest und verkenne da- bei, dass gemäss Art. 276a Abs. 1 ZGB die Unterhaltspflicht gegenüber minder- jährigen Kindern den anderen familienrechtlichen Unterhaltspflichten vorgehe. Insbesondere sei zu berücksichtigen, dass in Manko-Fällen ein Volljährigenunter- halt wegen fehlender Leistungsfähigkeit des Schuldners gar nicht festgelegt wer- den könne. Volljährigenunterhalt sei nur dann geschuldet, wenn dem Schuldner nach Deckung seines Existenzminimums und des Bedarfs etwaiger minderjähri- ger Kinder noch Leistungssubstrat verbleibe. Die Vorinstanz gehe selber von ei- ner Mankosituation aus (Urk. 197 Rz 36 ff., insb. 39 f.).</w:t>
      </w:r>
    </w:p>
    <w:p>
      <w:r>
        <w:rPr>
          <w:b/>
        </w:rPr>
        <w:t>E. 3.4.1</w:t>
      </w:r>
    </w:p>
    <w:p>
      <w:r>
        <w:t>Mit der am 1. Januar 2017 in Kraft getretenen Revision wurde in Artikel 276a Abs. 1 ZGB neu der Grundsatz verankert, dass die Unterhaltspflicht gegenüber einem minderjährigen Kind Vorrang vor der Unterhaltspflicht gegen- über einem Erwachsenen – dem Ehegatten oder dem volljährigen Kind – hat. Ei- ne erwachsene Person ist eher in der Lage, ihre finanziellen Probleme zu über- winden, was grundsätzlich auch für volljährige Geschwister gilt, während einem minderjährigen Kind die Aufnahme einer Erwerbstätigkeit von vornherein nicht möglich ist (BGE 144 III 502, E. 6.7, mit Verweis auf die Botschaft, S. 572 und S. 574). Allerdings relativiert Artikel 276a Abs. 2 ZGB den Vorrang der Unterhalts- pflicht gegenüber einem minderjährigen Kind zugunsten volljähriger Kinder in Ausbildung. Das Gericht kann in begründeten Fällen vom Vorrang absehen, wenn dessen Anwendung insbesondere zu einer stossenden Benachteiligung des voll- jährigen Kindes führen würde. Diese Ausnahmeregelung betrifft somit das Ver- hältnis von (minder- und volljährigen) Geschwistern untereinander (BGE 144 III 502, E. 6.8). Das erlaubt es insbesondere, den Unterhaltsanspruch eines Kindes</w:t>
      </w:r>
    </w:p>
    <w:p>
      <w:r>
        <w:t>- 22 - zu berücksichtigen, das die Volljährigkeit bald erreicht (bzw. im Verlaufe des Ver- fahrens volljährig wird) und seine Ausbildungsabsichten glaubwürdig darlegen kann (Botschaft, S. 567). Die Bestimmung ist vor allem auch dort von Relevanz, wo Volljährigenunterhalt antizipiert festgelegt worden ist und somit losgelöst von den Voraussetzungen des Art. 277 Abs. 2 ZGB (vgl. Art. 133 Abs. 3 ZGB; BSK ZGB I-Fountoulakis, Art. 276a N 9). Denkbar ist auch die (ausnahmsweise) Gleichbehandlung von Geschwistern mit einem sehr geringen Altersunterschied (bspw. 17- und 19-jährig), welche beide noch ihre Erstausbildung absolvieren. Je knapper die finanziellen Verhältnisse sind, umso restriktiver ist Art. 276a Abs. 2 ZGB anzuwenden (OFK ZGB-Gmünder, Art. 276a N 3). Die Unterhaltsberechtigung des volljährigen Kindes richtet sich nach wie vor nach Art. 277 Abs. 2 ZGB, der anlässlich der Revision unverändert geblieben ist. Voraussetzung für den Mündigenunterhalt ist, dass dieser den Eltern zugemutet werden kann, was insbesondere von ihrer Leistungsfähigkeit, aber auch von der persönlichen Beziehung zum erwachsenen Kind abhängt. In Mankofällen ist grundsätzlich kein Volljährigenunterhalt geschuldet (BSK ZGB I-Fountoulakis, Art. 276a N 8). Dem im Vernehmlassungsverfahren verschiedentlich geäusserten An- liegen, den Unterhaltsanspruch von volljährigen, noch in Ausbildung befindlichen Kindern gleichrangig mit dem Unterhaltsanspruch des minderjährigen Kindes zu behandeln, ist der Gesetzgeber (bewusst) nicht nachgekommen, da dadurch die Stellung des unmündigen Kindes geschwächt worden wäre. Das volljährige Kind hat gemäss Botschaft grundsätzlich die Möglichkeit, selbst für seinen Unterhalt aufzukommen, etwa indem es während seiner Ausbildung einer Teilzeitbeschäfti- gung nachgeht oder ein Stipendium beantragt (Botschaft, S. 574).</w:t>
      </w:r>
    </w:p>
    <w:p>
      <w:r>
        <w:rPr>
          <w:b/>
        </w:rPr>
        <w:t>E. 3.4.2</w:t>
      </w:r>
    </w:p>
    <w:p>
      <w:r>
        <w:t>Im Beurteilungszeitpunkt durch die Vorinstanz, am 24. März 2020, war C._____ noch nicht volljährig, weshalb die Vorinstanz zu Recht einen Minder- jährigenunterhalt festgelegt hat. Die Regelung in Dispositiv-Ziffer 16 des Urteils wurde jedoch zufolge Anfechtung durch die Beklagte nicht rechtskräftig. Inzwi- schen ist C._____ seit dem tt.mm.2020 volljährig. Ist Unterhalt für ein bereits voll- jähriges Kind festzulegen, kommen die Voraussetzungen von Art. 277 Abs. 2 ZGB unmittelbar zum Tragen, was bedeutet, dass in Mankofällen kein Volljährigenun-</w:t>
      </w:r>
    </w:p>
    <w:p>
      <w:r>
        <w:t>- 23 - terhalt festgesetzt wird. Gemäss den Berechnungen der Vorinstanz, die vom Klä- ger nicht substantiiert bestritten werden (Urk. 207 S. 13), liegt ein Mankofall vor. Sie ging von einem Einkommen der Beklagten von Fr. 3'063.50 und einem erwei- terten Bedarf von Fr. 2'424.– aus (Urk. 198 S. 34 f. und S. 49 f.), und errechnete einen Überschuss von Fr. 640.–, der auf die drei Kinder aufzuteilen sei. C._____ rechnete sie ein Einkommen von Fr. 797.– an (anrechenbarer Anteil am Lehr- lingslohn Fr. 547.– und Ausbildungszulage von Fr. 250.–; Urk. 198 S. 36). Seinen Notbedarf bezifferte sie mit Fr. 1'221.– (Urk. 198 S. 51 f.). Bei D._____ ging die Vorinstanz von einem Notbedarf von Fr. 999.– und bei E._____ von einem sol- chen von Fr. 1'004.– aus (Urk. 198 S. 54), und bei beiden von einem Einkommen von je Fr. 200.– (Kinderzulage; Urk. 198 S. 36). Sie errechnete entsprechend ei- nen Barunterhalt für C._____ von Fr. 424.–, für D._____ von Fr. 799.– und für E._____ von Fr. 804.– (Urk. 198 S. 57). Zwar erhalten D._____ und E._____ heu- te eine Kinderzulage von Fr. 250.– je Kind (Urk. 200/8-9; D._____ erreichte am tt.mm.2017 und E._____ am tt.mm.2020 das 12. Altersjahr) und reduziert sich ihr Manko so um je Fr. 50.–. Das Einkommen der Beklagten ist heute mit Fr. 3'139.50 (Fr. 3'398.– ./. Fr. 500.– Kinderzulage = Fr. 2'898.– x 13/12 = Fr. 3'139.50; vgl. Urk. 200/9) um Fr. 76.– leicht höher. Trotzdem ist die Beklagte bei weitem nicht in der Lage, mit dem resultierenden Überschuss von Fr. 716.– den Barunterhalt der beiden unter ihrer Obhut stehenden minderjährigen Kinder in Höhe von Fr. 1'503.– abzudecken. Zwar haben die Kinder seit 1. August 2020 Anspruch auf eine AHV-Kinderrente in Höhe von je Fr. 225.– (Urk. 197 Rz 71 f.; Urk. 216 Rz 22, Urk. 217/5). Damit verbleibt für die beiden minderjährigen Kinder aber immer noch ein ungedeckter Unterhaltsbedarf von Fr. 337.– (Fr. 1'503.– ./. Fr. 716.– ./. 2 x Fr. 225.–). Offen ist zwar, ob der Kläger überdies Anspruch auf Leistungen der beruflichen Vorsorge und damit auch auf eine BVG-Kinderrente hat, wie die Be- klagte mutmasst (Urk. 198 Rz 80 ff.). Der Kläger hat sich dazu nicht geäussert. Eine allfällige BVG-Kinderrente könnte indes nur minim ausfallen. Mit Verfügung vom 14. März 2019 war der Kläger aufgefordert worden, u.a. Belege über sämtli- che von ihm für sich und die Kinder bezogenen Renten einzureichen (Urk. 116). Er reichte einzig einen Auszug der F._____ Freizügigkeitsstiftung ein, wonach sein Vorsorgeguthaben per 31. Dezember 2017 noch Fr. 16'111.80 betragen hat</w:t>
      </w:r>
    </w:p>
    <w:p>
      <w:r>
        <w:t>- 24 - (Urk. 136/3). Selbst wenn er sich dieses Guthaben nicht, wie er geltend macht (vgl. Urk. 136/3), hat auszahlen lassen, würde eine Rente nur minim ausfallen (und wäre auch bei C._____ anzurechnen). Dass weiteres Vorsorgeguthaben bei der I._____ der ehemaligen Arbeitgeberin des Klägers vorhanden wäre, bei wel- cher er per Ende Juli 2015 entlassen worden ist (Urk. 46 S. 3 E. II./A./4.), ist nicht anzunehmen. Wer bei Verlust einer Arbeitsstelle das Freizügigkeitsguthaben nicht in eine neue Pensionskasse einbringt, muss es an eine Freizügigkeitseinrichtung (hier wohl die F._____ Freizügigkeitsstiftung) überweisen. Anhaltspunkte für eine australische Rente fehlen gänzlich. C._____ hingegen vermag seinen Bedarf selber zu decken. Er befindet sich seit 1. August 2020 im dritten Lehrjahr und erhält einen Lehrlingslohn von brutto Fr. 1'050.– zuzüglich Anteil 13. Monatslohn bzw. netto Fr. 1'065.– (Urk. 55/15, Urk. 198 S. 36, Urk. 197 Rz 68 f.). Zusammen mit der Ausbildungszulage von Fr. 250.– und der AHV-Kinderrente von Fr. 225.– beträgt sein monatliches Netto- einkommen Fr. 1'540.–. Auch wenn sich bezüglich der AHV-Kinderrente für C._____ kein Beleg bei den Akten befindet, ist mit der Beklagten (Urk. 216 Rz 22) davon auszugehen, dass diese auch für C._____, der sich noch in Ausbildung be- findet, ausbezahlt wird ( Art. 22ter Abs. 1 i.V.m. Art. 25 Abs. 5 AHVG). Bei einem Bedarf von Fr. 1'221.– sollte es ihm daher möglich sein, seinen Lebensunterhalt im vorgenannten Sinne selbst zu bestreiten. Der Kläger wendet zwar sinngemäss ein, der Bedarf von C._____ als Volljährigem sei höher, als von der Vorinstanz berechnet, welche sich an den Bedürfnissen eines 13- und 15-Jährigen orientiert habe (Urk. 207 S. 13). Er legt aber nicht dar, inwiefern der Bedarf konkret unrich- tig berechnet sein soll oder welche Positionen neu aufgenommen werden müss- ten, und kommt damit den Begründungsanforderungen nicht nach (vgl. vorn E. II./3.), weshalb darauf nicht weiter einzugehen ist. Der Vorrang der Unterhalts- pflicht gegenüber den minderjährigen Geschwistern führt bei den gegebenen Ver- hältnissen zu keiner stossenden Benachteiligung von C._____, zumal sich seine finanzielle Lage im vierten Lehrjahr noch verbessern wird. Bei diesem Ergebnis erübrigt es sich, auf die weiteren Beanstandungen der Beklagten in Bezug auf die Überschussberechnung beziehungsweise die Be-</w:t>
      </w:r>
    </w:p>
    <w:p>
      <w:r>
        <w:t>- 25 - darfsberechnung für sich und die beiden minderjährigen Kinder einzugehen (Urk. 197 Rz 42 ff.). Selbst wenn ihr Bedarf oder jener der beiden minderjährigen Kin- der höher zu veranschlagen wäre, als die Vorinstanz dies getan hat, und ein Überschuss fehlen würde, führte dies vorliegend zu keinem anderen Ergebnis. Dementsprechend ist auch auf die vom Kläger unter dem Titel "(WM) Finanzen" gemachten Einwendungen (Urk. 207 S. 14 ff.) zum von der Beklagten berechne- ten höheren als dem von der Vorinstanz errechneten Bedarf der Beklagten und der Kinder nicht weiter einzugehen. Ohnehin beziehen sich diese Einwendungen zum grössten Teil auf Ausführungen der Beklagten zu ihrem Gesuch um unent- geltliche Rechtspflege, in welchem Verfahren dem Kläger keine Parteistellung zu- kommt. Dass bei C._____ kein Manko vorliegt (so die Beklagte, Urk. 197 Rz 68 ff.), wurde bereits berücksichtigt. Auch auf die Leistungsfähigkeit des Beklagten (Urk. 197 Rz 79 ff.) braucht bei dieser Sachlage nicht weiter eingegangen zu wer- den.</w:t>
      </w:r>
    </w:p>
    <w:p>
      <w:r>
        <w:rPr>
          <w:b/>
        </w:rPr>
        <w:t>E. 3.4.3</w:t>
      </w:r>
    </w:p>
    <w:p>
      <w:r>
        <w:t>Nach dem Gesagten ist von einer Verpflichtung der Beklagten, dem Kläger für den Sohn C._____ den Anteil am Überschuss in der Höhe von Fr. 213.– monatlich (zuzüglich allfälliger gesetzlicher und vertraglicher Familien-, Kinder- und Ausbildungszulagen) bis zum ordentlichen Abschluss einer ange- messenen Ausbildung von C._____ zu bezahlen, abzusehen. Die Ausbildungszu- lage für C._____ bezieht die Beklagte nicht mehr (vgl. Urk 200/8-10). Sollte sich dies ändern, wäre sie schon von Gesetzes wegen verpflichtet, die Ausbildungszu- lage an Sohn C._____ weiterzuleiten (Art. 285a Abs. 1 ZGB; Art. 9 Abs. 1 Fa- mZG). Dispositiv-Ziffern 15 des angefochtenen Urteils ist daher aufzuheben und der Antrag des Klägers, die Beklagte zu verpflichten, ihm Unterhaltsbeiträge von mindestens im Betrag von Fr. 640.– je Kind zu bezahlen, vollumfänglich abzuwei- sen. Dispositiv-Ziffer 16 ist dementsprechend ersatzlos aufzuheben. 4. Feststellung des ungedeckten gebührenden Barunterhalts Gemäss den vorstehenden Erwägungen (oben E. III./3.4.2) liegt bei C._____ kein Manko vor. Sein gebührender Unterhalt ist gedeckt, weshalb Dispositiv-Ziffer 17, wie von der Beklagten beantragt, entsprechend anzupassen ist.</w:t>
      </w:r>
    </w:p>
    <w:p>
      <w:r>
        <w:t>- 26 -</w:t>
      </w:r>
    </w:p>
    <w:p>
      <w:r>
        <w:rPr>
          <w:b/>
        </w:rPr>
        <w:t>E. 4</w:t>
      </w:r>
    </w:p>
    <w:p>
      <w:r>
        <w:t>Im Bereich der Kinderbelange gelten der uneingeschränkte Untersu- chungsgrundsatz und die Offizialmaxime (Art. 296 ZPO). Dies bedeutet, dass das Gericht alle Tatsachen, die für die Anordnungen über ein Kind von Bedeutung sind, von Amtes wegen zu ermitteln hat, wobei es die ihm bedeutsam erschei- nenden Gegebenheiten frei würdigt. Das Gericht ist sodann nicht an die Parteian- träge gebunden. Es kann Entscheide auch ohne entsprechende Anträge treffen (BGE 137 III 617 E. 4.5.2; BGE 128 III 411 E. 3.2.1; BGer 5A_416/2008 vom 25. August 2008, E. 4). Infolgedessen können die Parteien im Berufungsverfahren auch dann neue Tatsachen und Beweismittel vorbringen, wenn die Vorausset- zungen nach Art. 317 Abs. 1 ZPO nicht erfüllt sind (BGE 144 III 349 E. 4.2.1). Da sich das vorliegende Berufungsverfahren einzig auf Kinderbelange bezieht, sind die von der Beklagten vorgebrachten neuen Vorbringen und Beweismittel zu be- rücksichtigen.</w:t>
      </w:r>
    </w:p>
    <w:p>
      <w:r>
        <w:rPr>
          <w:b/>
        </w:rPr>
        <w:t>E. 5</w:t>
      </w:r>
    </w:p>
    <w:p>
      <w:r>
        <w:t>Zusammengefasst ist die Berufung der Beklagten grösstenteils be- gründet. Dispositiv-Ziffer 14 ist aufzuheben, und die Unterhaltsverpflichtung des Klägers gemäss Ziffer 6 des Urteils vom 16. Mai 2014 gegenüber dem Sohn C._____, geboren am tt.mm.2002, rückwirkend ab dem 1. Februar 2019, und jene gegenüber den Kindern D._____, geboren am tt.mm.2005, und E._____, geboren am tt.mm.2008, rückwirkend ab dem 1. Mai 2020 aufzuheben. Im übersteigenden Umfang ist das klägerische Rechtsbegehren Ziffer 1 abzuweisen. Dispositiv- Ziffern 15 des angefochtenen Urteils ist aufzuheben und der Antrag des Klägers, die Beklagte zu verpflichten, ihm Unterhaltsbeiträge im Betrag von mindestens Fr. 640.– je Kind zu bezahlen, vollumfänglich abzuweisen. Dispositiv-Ziffer 16 ist dementsprechend ersatzlos aufzuheben. Und schliesslich ist Dispositiv-Ziffer 17 insoweit anzupassen, als bei C._____ kein Manko vorliegt. IV. 1. Die Vorinstanz setzte die Entscheidgebühr auf Fr. 8'000.– fest und auf- erlegte sie zusammen mit den Dolmetscherkosten den Parteien je zur Hälfte, wo- bei diese zufolge Gewährung der unentgeltlichen Rechtspflege einstweilen auf die Gerichtskasse genommen und die Parteien auf die Nachzahlungspflicht gemäss Art. 123 ZPO hingewiesen wurden. Die Parteientschädigungen wurden wettge- schlagen (Urk. 198 S. 63 f. und S. 67 f. Dispositiv-Ziffern 20-22). Diese Regelung wurde von keiner Partei angefochten. Sie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