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LC190028 vom 3. Juni 2021</w:t>
      </w:r>
    </w:p>
    <w:p>
      <w:r>
        <w:t>ZH Obergericht, 2021-06-03, DE</w:t>
      </w:r>
    </w:p>
    <w:p>
      <w:r>
        <w:rPr>
          <w:b/>
        </w:rPr>
        <w:t xml:space="preserve">Quelle: </w:t>
      </w:r>
      <w:r>
        <w:t>https://mcp.opencaselaw.ch/entscheid/zh_obergericht_LC190028</w:t>
      </w:r>
    </w:p>
    <w:p>
      <w:r>
        <w:t>FR: ZH_OBERGERICHT LC190028 du 3 juin 2021</w:t>
      </w:r>
    </w:p>
    <w:p>
      <w:r>
        <w:t>IT: ZH_OBERGERICHT LC190028 del 3 giugno 2021</w:t>
      </w:r>
    </w:p>
    <w:p>
      <w:pPr>
        <w:pStyle w:val="Heading2"/>
      </w:pPr>
      <w:r>
        <w:t>Erwägungen</w:t>
      </w:r>
    </w:p>
    <w:p>
      <w:r>
        <w:rPr>
          <w:b/>
        </w:rPr>
        <w:t>E. 1</w:t>
      </w:r>
    </w:p>
    <w:p>
      <w:r>
        <w:t>Die Parteien wurden mit Urteil des Bezirksgerichts Meilen vom 7. Juni 2017 geschieden. Die gemeinsamen Kinder C._____, geboren am tt.mm.2008, und D._____, geboren am tt.mm.2010, wurden unter der gemeinsamen elterli- chen Sorge der Parteien belassen. Die Obhut über die beiden Kinder wurde der</w:t>
      </w:r>
    </w:p>
    <w:p>
      <w:r>
        <w:t>- 20 - Beklagten und Berufungsklägerin (fortan: Beklagte) zugeteilt und der Kläger und Berufungsbeklagte (fortan: Kläger) erklärte sich damit einverstanden, dass die Mutter den Wohnsitz der Kinder nach Ende des laufenden Schuljahres 2016/2017 in die USA oder nach Frankreich verlegt. Der Kläger verpflichtete sich, der Be- klagten ab Rechtskraft des Scheidungsurteils monatliche Kinderunterhaltsbeiträge von CHF 3'500.– (2 x CHF 1'200.– Barunterhalt zuzüglich CHF 1'100.– Betreu- ungsunterhalt) und nach einem Jahr ab Rechtskraft bzw. ab Aufnahme der Er- werbstätigkeit durch den Kläger monatliche Kinderunterhaltsbeiträge von CHF 4'100.– (2 x CHF 1'200.– Barunterhalt zuzüglich CHF 1'700.– Betreuungsunter- halt), immer zuzüglich Kinderzulagen, zu bezahlen, wobei der Betreuungsunter- halt bis und mit 13. Altersjahr von D._____ befristet wurde. Die mit Entscheid der KESB Meilen vom 8. Dezember 2016 errichtete Beistandschaft gemäss Art. 308 Abs. 2 ZGB wurde beibehalten (Urk. 4/69).</w:t>
      </w:r>
    </w:p>
    <w:p>
      <w:r>
        <w:rPr>
          <w:b/>
        </w:rPr>
        <w:t>E. 1.1</w:t>
      </w:r>
    </w:p>
    <w:p>
      <w:r>
        <w:t>Die Berufung der Beklagten vom 30. September 2019 richtet sich gegen die Dispositiv-Ziffern 1 bis 3 des Urteils der Vorinstanz vom 28. August 2019 (Urk. 168 S. 2). Dispositiv-Ziffer 4 betreffend Unterhalt ist untrennbar mit der angefoch- tenen Dispositiv-Ziffer 1 verbunden. Demzufolge ist vorzumerken, dass die Dispo- sitiv-Ziffern 5 und 6 des Urteils der Vorinstanz vom 28. August 2019 mit Ablauf der Frist zur Erhebung einer Anschlussberufung (vgl. Urk. 174) am 13. Dezember 2019 in Rechtskraft erwachsen sind. Keine Vormerknahme der Rechtskraft erfolgt mit Blick auf Art. 318 Abs. 3 ZPO hinsichtlich der in Dispositiv-Ziffern 7 bis 9 des</w:t>
      </w:r>
    </w:p>
    <w:p>
      <w:r>
        <w:t>- 26 - vorinstanzlichen Urteils geregelten erstinstanzlichen Kosten- und Entschädi- gungsfolgen.</w:t>
      </w:r>
    </w:p>
    <w:p>
      <w:r>
        <w:rPr>
          <w:b/>
        </w:rPr>
        <w:t>E. 1.2</w:t>
      </w:r>
    </w:p>
    <w:p>
      <w:r>
        <w:t>Die Berufung der Beklagten vom 9. September 2019 richtet sich gegen die Dispositiv-Ziffern 1 bis 3 der Verfügung der Vorinstanz vom 28. August 2019 (Urk. 179/168 S. 2). Dispositiv-Ziffer 4 betreffend Unterhalt ist untrennbar mit der angefochtenen Dispositiv-Ziffer 1 verbunden. Demzufolge ist vorzumerken, dass die Dispositiv-Ziffern 5 und 6 der Verfügung der Vorinstanz vom 28. August 2019 mit Ablauf der Berufungsfrist am 10. September 2019 in Rechtskraft erwachsen sind (vgl. Urk. 162), wobei Dispositiv-Ziffer 7 (wonach die Regelung der Kosten- und Entschädigungsfolgen gemäss dem Urteil in der Hauptsache erfolgt) wiede- rum von einer Vormerknahme auszunehmen ist.</w:t>
      </w:r>
    </w:p>
    <w:p>
      <w:r>
        <w:rPr>
          <w:b/>
        </w:rPr>
        <w:t>E. 2</w:t>
      </w:r>
    </w:p>
    <w:p>
      <w:r>
        <w:t>Mit Eingabe vom 15. Juni 2018, gleichentags zur Post gegeben und bei der Vorinstanz eingegangen am 18. Juni 2018, klagte der Kläger auf Abänderung des Scheidungsurteils vom 7. Juni 2017 und beantragte insbesondere, die beiden Kinder C._____ und D._____ seien unter seine alleinige Obhut zu stellen. Zudem ersuchte er um den Erlass vorsorglicher Massnahmen (Urk. 1, Urk. 2). Per 16. Juni 2018 zog die Beklagte mit den beiden gemeinsamen Kindern und mit ihrem am tt.mm.2016 geborenen Sohn H._____ zu ihrem Ehemann I._____ in die Ver- einigten Staaten von Amerika (Urk. 21/1/1-4, Urk. 51 S. 8). In ihrer Verfügung vom</w:t>
      </w:r>
    </w:p>
    <w:p>
      <w:r>
        <w:rPr>
          <w:b/>
        </w:rPr>
        <w:t>E. 2.1</w:t>
      </w:r>
    </w:p>
    <w:p>
      <w:r>
        <w:t>Die Parteien beantragen die Genehmigung einer Vereinbarung, mit der im Scheidungsurteil vom 7. Juni 2017 und im vorinstanzlichen Urteil vom 28. Au- gust 2019 rechtskräftig geregelte Kinderbelange abgeändert werden sollen. Da Kinderbelange der Parteidisposition entzogen sind (Art. 296 Abs. 3 ZPO), wird ei- ne solche Vereinbarung erst rechtsgültig, wenn das Gericht sie genehmigt hat, wobei eine dem Gericht vorgelegte Vereinbarung als gemeinsame Anträge ent- gegenzunehmen und zu behandeln sind (Sutter-Somm/Gut, in: Sutter- Somm/Hasenböhler/Leuenberger, ZPO-Komm., Art. 279 N 7; BSK ZPO-Bähler, Art. 279 N 1c). Das mit einer Änderung der elterlichen Sorge, der Obhut oder des Unterhaltsbeitrags befasste Gericht hat dabei auch den persönlichen Verkehr o- der die Betreuungsanteile neu zu regeln (Art. 134 Abs. 4 ZGB).</w:t>
      </w:r>
    </w:p>
    <w:p>
      <w:r>
        <w:rPr>
          <w:b/>
        </w:rPr>
        <w:t>E. 2.2</w:t>
      </w:r>
    </w:p>
    <w:p>
      <w:r>
        <w:t>An der im Scheidungsurteil vom 7. Juni 2017 angeordneten gemeinsa- men elterlichen Sorge über die beiden Kinder soll – mit Ausnahme der Aufhebung des Einverständnisses des Klägers zur Verlegung des Wohnsitzes der Kinder ins Ausland (Ziffer 3.2.a Abs. 2 des Scheidungsurteils) – gemäss der Vereinbarung nichts geändert werden. Die Aufhebung dieser Bestimmung kann ohne weiteres genehmigt werden, nachdem die Kinder mehrheitlich beim Kläger leben und ihr Wohnsitz an dessen Wohnort geknüpft werden soll.</w:t>
      </w:r>
    </w:p>
    <w:p>
      <w:r>
        <w:t>- 27 -</w:t>
      </w:r>
    </w:p>
    <w:p>
      <w:r>
        <w:rPr>
          <w:b/>
        </w:rPr>
        <w:t>E. 2.3</w:t>
      </w:r>
    </w:p>
    <w:p>
      <w:r>
        <w:t>Die Parteien stellen den Antrag, die bisherige Regelung der Obhut (Al- leinobhut der Beklagten) und des persönlichen Verkehrs zwischen dem Kläger und den Kindern durch die in der Vereinbarung getroffene Betreuungsregelung mit Wohnsitz der Kinder am Wohnort des Klägers zu ersetzen. C._____ und D._____ leben seit dem 19. Februar 2020 beim Kläger in der Schweiz (Urk. 195). Ende Juni 2020 kehrte die Beklagte mit ihrem Sohn H._____ ihrerseits in die Schweiz zurück. Sie lebt seither in L._____ in der Nähe des Klä- gers und der Kinder. Die in Ziffer 1 der Vereinbarung getroffene Betreuungsrege- lung führt im Wesentlichen die seit Juli 2020 bestehende, funktionierende Kon- taktregelung weiter. Die Betreuung der Kinder durch die Beklagte an zusätzlichen individuellen Einzeltagen auf Wunsch der Kinder und nach (frühzeitiger) Abspra- che trägt dem Bedürfnis nach einer gewissen Flexibilisierung der Betreuung unter Berücksichtigung anderweitiger Freizeitaktivitäten Rechnung (vgl. Prot. II S. 80, S. 83 f., S. 86 f.). Die Vereinbarung wird von den Parteien und der Kindesvertreterin mitgetragen, wobei die Kindesvertreterin im Hinblick auf die zweite Instruktions- verhandlung nochmals Rücksprache mit den Kindern nahm (Prot. II S. 87). Da die Kinder mehrheitlich vom Kläger betreut werden, erscheint es folgerichtig, dass sich der Wohnsitz der Kinder am Wohnort des Vaters befindet. Ziffer 1 der Ver- einbarung ist daher zu genehmigen. Ebenfalls genehmigungsfähig ist Ziffer 3 der Vereinbarung, welcher der Gedanke zugrunde liegt, dass beide Elternteile über Reisepässe der Kinder verfügen sollen, was eine Aushändigung und Rückgabe derselben an einen Elternteil in Zukunft überflüssig macht.</w:t>
      </w:r>
    </w:p>
    <w:p>
      <w:r>
        <w:rPr>
          <w:b/>
        </w:rPr>
        <w:t>E. 2.4</w:t>
      </w:r>
    </w:p>
    <w:p>
      <w:r>
        <w:t>Bereits mit Entscheid der KESB Bezirk Meilen vom 8. Dezember 2016 war für C._____ und D._____ eine Beistandschaft nach Art. 308 Abs. 2 ZGB er- richtet und der Beiständin im Rahmen ihrer besonderen Befugnisse der Auftrag erteilt worden, das jeweils rechtskräftig angeordnete Besuchsrecht zu überwa- chen und soweit notwendig die Modalitäten festzulegen (Urk. 4/29, Urk. 11/99). Die Vor-instanz genehmigte die von den Parteien beantragte Aufhebung der Bei- standschaft in Dispositiv-Ziffer 5.5 des Urteils bzw. in Dispositiv-Ziffer 5.2 der Ver- fügung vom 28. August 2019 (Urk. 169 S. 85 f., S. 91). Die Vorinstanz hielt dafür, die in Ziffer 2 der Teilvereinbarung vom 28. Juni 2019 (Urk. 144) beantragte Auf-</w:t>
      </w:r>
    </w:p>
    <w:p>
      <w:r>
        <w:t>- 28 - hebung der Beistandschaft sei angesichts des Wegzugs der Beklagten in die USA zu genehmigen (Urk. 169 S. 38) und die Beklagte habe den in Ziffer 5 der Verein- barung vom 15. Juli 2019 (Urk. 152) gestellten Antrag auf Aufhebung der Bei- standschaft nicht widerrufen (Urk. 169 S. 40). Die Genehmigungen sind in Rechtskraft erwachsen (vgl. E. II.1.1 und II.1.2). Eine eigentliche Aufhebung der Beistandschaft in einer separaten Dispositiv-Ziffer erfolgte seitens der Vorinstanz nicht. Die Beiständin F._____ ist jedenfalls nach der Rückkehr der Kinder und der Beklagten in die Schweiz wieder tätig geworden (vgl. Prot. II S. 81, S. 84 und S. 88; vgl. auch die E-Mail der Vizepräsidentin der KESB Bezirk Meilen an den da- maligen Rechtsvertreter der Beklagten vom 6. Juli 2020, worin sich diese nach dem Wohnsitz der Beklagten und dem Stand des Verfahrens erkundigt [Urk. 229]). Der beantragten Beibehaltung der mit Entscheid der KESB Bezirk Meilen vom 8. Dezember 2016 errichteten Beistandschaft steht – nachdem sowohl die Kinder als auch die Beklagte wieder in die Schweiz zurückgekehrt sind – nichts entgegen. Somit ist Ziffer 2 der Vereinbarung zu genehmigen und anzuordnen, dass die Beistandschaft weitergeführt wird. Der Aufgabenbereich der Beistands- person ist den neuen Betreuungsverhältnissen anzupassen. 2.5.1 Nachdem die Kinder per 19. Februar 2020 unter die Obhut des Klägers gestellt wurden und der Kläger die Kinder auch in Zukunft überwiegend betreut, ist seine Unterhaltsverpflichtung – wie bereits im Beschluss vom 7. Juli 2020 für die Dauer des Berufungsverfahrens angeordnet wurde (Urk. 230) – antragsge- mäss per 1. März 2020 aufzuheben. Bis zu diesem Zeitpunkt richtet sich die Un- terhaltsverpflichtung des Klägers nach Dispositiv-Ziffer 5.3.a-b des vorinstanzli- chen Urteils, die unangefochten in Rechtskraft erwachsen ist. Die Beklagte ver- fügt nach wie vor über kein Erwerbseinkommen und lebt zusammen mit dem fünf- jährigen H._____ von den Unterhaltsbeiträgen ihres pensionierten Ehemannes I._____ (Prot. II S. 78 f., Urk. 223/4 S. 5). Die Beklagte ist zwar auf der Suche nach einer Arbeitsstelle in der Altenpflege. Aufgrund ihrer mangelnden Berufser- fahrung in diesem Bereich, ihrer Ausbildung und bisherigen Tätigkeit in Frankreich (vgl. Prot. II S. 81) erscheint aber unwahrscheinlich, dass sie in absehbarer Zeit ein über ihr Existenzminimum hinausgehendes Einkommen erzielen kann. Zudem muss sie in ihren Betreuungszeiten für den Barunterhalt der Kinder aufkommen.</w:t>
      </w:r>
    </w:p>
    <w:p>
      <w:r>
        <w:t>- 29 - Zu präzisieren ist an dieser Stelle, dass der in Dispositiv-Ziffer 5.4 des vorinstanz- lichen Urteils (Urk. 169 S. 86) ausgewiesene Bedarf der Beklagten von CHF 2'000.– (ab 24. Dezember 2019) den Aufenthalt in den USA betrifft, während die Beklagte bei ihrer Rückkehr in die Schweiz von einem erweiterten Existenzbedarf (inkl. H._____) ausging, der mit den Unterhaltsleistungen ihres Ehemannes von CHF 5'000.– nur knapp gedeckt werden könne (Urk. 221 S. 9). Der Kläger lässt sich unterhaltsrechtlich auf dem im Scheidungsurteil (Urk. 4/69 S. 6) und im Urteil der Vorinstanz (Urk. 169 S. 86) festgehaltenen (hypothetischen) Einkommen von CHF 8'500.– pro Monat behaften, auch wenn er ausführte, bei der M._____ AG effektiv lediglich CHF 64'000.– netto im Jahr zuzüglich Kinderzulagen zu verdie- nen. Obwohl er zusammen mit seiner – in einem Pensum von 40% als Gymnasi- allehrerin tätigen – Ehefrau einen Mietzins von CHF 5'200.– bezahlt, ist er den- noch nicht auf Sozialhilfe angewiesen, da er im Umfang der Unterdeckung auf die finanzielle Unterstützung seines Schwiegervaters zählen kann (Prot. II S. 63, S. 82). Auf diese Weise kann der Barbedarf der Kinder beim Kläger gedeckt werden. Ziffer 4 der Vereinbarung, der einen Verzicht auf die Festlegung von Kinderunter- halt beinhaltet, ist daher zu genehmigen. 2.5.2 In den Ziffern 5 und 6 der Vereinbarung werden die bis 1. März 2020 aufgelaufenen, offenen Unterhaltsschulden des Klägers und eine weitere güter- rechtliche Verpflichtung einer einvernehmlichen Lösung zugeführt. Mit Erfüllung der beiden in Ziffer 5 genannten Verpflichtungen durch den Kläger geht zwar eine erhebliche Reduktion der offenen Unterhaltsschuld gemäss Dispositiv-Ziffer 5.3.a- b des vorinstanzlichen Urteils einher. Dabei gilt es aber einerseits zu beachten, dass die Kinder bis Februar 2020 bei der Beklagten in den USA in komfortablen Verhältnissen gelebt haben, wo ihre Bedürfnisse vollständig durch Leistungen Dritter gedeckt wurden. Eine (rückwirkende) Einbusse ihres damaligen Lebens- standards droht aufgrund der vereinbarten Regelung nicht. Andererseits ist unge- wiss, wann der Kläger in der Lage wäre, bei seinem jetzigen Einkommen von CHF 64'000.– netto pro Jahr die gesamte ausstehende Unterhaltsschuld zu be- zahlen, zumal er ab 1. März 2020 hauptsächlich den Barunterhalt der Kinder be- streitet, keine Unterhaltsbeiträge von der Beklagten erhält und mit seiner jetzigen Ehefrau für ein weiteres Kind, K._____, sorgen muss. Die Beklagte wurde für of-</w:t>
      </w:r>
    </w:p>
    <w:p>
      <w:r>
        <w:t>- 30 - fene Steuerforderungen des Jahres 2014 von der Gemeinde L._____ bis zur Aus- stellung eines Verlustscheines betrieben, verfügt über einen entsprechenden Ein- trag im Betreibungsregister und muss mit der erneuten Geltendmachung der Steuerforderung rechnen (Urk. 236/2, Urk. 253), was ihre wirtschaftliche Bewe- gungsfreiheit einschränkt. Gemäss dem Scheidungsurteil vom 7. Juni 2017 und dem vorinstanzlichen Urteil vom 28. August 2019 hat der Kläger im internen Ver- hältnis diese offenen Steuerschulden zu bezahlen. Die in Ziffer 5 getroffene Rege- lung bietet daher auch Vorteile für die Beklagte. Die Kindervertreterin bezeichnete es wiederum als enorm wichtig für die Kinder, dass eine Lösung gefunden und das Verfahren abgeschlossen werden könne (Prot. II S. 87). Dies gilt zwar haupt- sächlich für die nicht vermögensrechtlichen Aspekte; dass sich weitere finanzielle Auseinandersetzungen zwischen den Eltern nicht günstig auf das Wohl der Kinder auswirken, versteht sich aber von selbst. Kommt der Kläger mit einer der beiden stipulierten Verpflichtungen (Zahlung von CHF 15'000.– netto für ausstehenden Kinderunterhalt bis 30. September 2021; Zahlung der offenen Steuerschulden bis Ende Juli 2021) in Verzug, bleiben die Kinderunterhaltsbeiträge im gemäss Dis- positiv-Ziffer 5.3.a-b des vorinstanzlichen Urteils festgelegten Umfang geschuldet und kann mangels Vollzugs der Vereinbarung auch die in Ziffer 6 der Vereinba- rung enthaltene Saldoklausel nicht zum Tragen kommen. Im Interesse einer voll- ständigen und gütlichen Auseinandersetzung der Parteien sind auch die Ziffern 5 und 6 der Vereinbarung zu genehmigen. 3. Mit dem gestützt auf übereinstimmende Parteianträge ergehenden En- dentscheid der Berufungsinstanz in der Sache und dem Rückzug sämtlicher, all- fälliger weitergehenden Anträge (Ziffer 6 der Vereinbarung) erübrigt sich die An- ordnung von vorsorglichen Massnahmen. III. 1. Die erstinstanzlichen Kostenansätze (Urk. 169 S. 87), die auch das Mas- snahmeverfahren umfassen (vgl. Urk. 169 S. 91), sind zu bestätigen. Die zweitin- stanzliche Entscheidgebühr ist gestützt auf § 6 Abs. 1 in Verbindung mit § 5 Abs. 1 und § 12 Abs. 1 und 2 GebV OG auf CHF 5'000.– festzusetzen, wobei zu be-</w:t>
      </w:r>
    </w:p>
    <w:p>
      <w:r>
        <w:t>- 31 - rücksichtigen ist, dass sich die Parteien umfassend geeinigt haben und eine Ver- einbarung genehmigt werden kann (vgl. für das Scheidungsverfahren § 6 Abs. 2 lit. a GebV OG). Die Auslagen für die Übersetzungen betragen CHF 367.50 (Urk. 193), CHF 682.50 (Urk. 227A+B) und CHF 570.– (Urk. 256), total CHF 1'620.–. Die Auslagen für die Kindesvertretung sind gestützt auf die Honorarnote von Rechtsanwältin X._____ vom 31. Mai 2021 (Urk. 257) antragsgemäss auf CHF 14'025.80 (CHF 13'023.– zuzüglich CHF 1'002.80 [7.7% Mehrwertsteuer]) festzu- setzen. 2. Die Kosten des erst- und zweitinstanzlichen Verfahrens sind vereinba- rungsgemäss dem Kläger und der Beklagten je zur Hälfte aufzuerlegen und mit den von der Beklagten geleisteten Vorschüssen von insgesamt CHF 18'000.– (Urk. 173, Urk. 179/174, Urk. 187) zu verrechnen. Der Fehlbetrag ist vom Kläger nachzufordern (Art. 111 Abs. 1 ZPO). Der Kläger hat der Beklagten die geleiste- ten Vorschüsse im Umfange von CHF 2'938.35 zu ersetzen (Art. 111 Abs. 2 ZPO). Der Kläger und die Beklagte haben für das erst- und zweitinstanzliche Ver- fahren gegenseitig auf eine Parteientschädigung verzichtet. Demnach sind für beide Verfahrensstufen keine Parteientschädigungen zuzusprechen (Art. 109 Abs. 1 ZPO). Es wird beschlossen:</w:t>
      </w:r>
    </w:p>
    <w:p>
      <w:r>
        <w:rPr>
          <w:b/>
        </w:rPr>
        <w:t>E. 7</w:t>
      </w:r>
    </w:p>
    <w:p>
      <w:r>
        <w:t>Kosten- und Entschädigungsfolgen Die Parteien übernehmen die Gerichtskosten inklusive die Kosten der Kindsvertre- tung für das erst- und das zweitinstanzliche Verfahren je zur Hälfte und verzichten für das erst- und zweitinstanzliche Verfahren gegenseitig auf eine Parteientschädi- gung."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