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LC190023 vom 7. November 2019</w:t>
      </w:r>
    </w:p>
    <w:p>
      <w:r>
        <w:t>ZH Obergericht, 2019-11-07, DE</w:t>
      </w:r>
    </w:p>
    <w:p>
      <w:r>
        <w:rPr>
          <w:b/>
        </w:rPr>
        <w:t xml:space="preserve">Quelle: </w:t>
      </w:r>
      <w:r>
        <w:t>https://mcp.opencaselaw.ch/entscheid/zh_obergericht_LC190023</w:t>
      </w:r>
    </w:p>
    <w:p>
      <w:r>
        <w:t>FR: ZH_OBERGERICHT LC190023 du 7 novembre 2019</w:t>
      </w:r>
    </w:p>
    <w:p>
      <w:r>
        <w:t>IT: ZH_OBERGERICHT LC190023 del 7 novembre 2019</w:t>
      </w:r>
    </w:p>
    <w:p>
      <w:pPr>
        <w:pStyle w:val="Heading2"/>
      </w:pPr>
      <w:r>
        <w:t>Erwägungen</w:t>
      </w:r>
    </w:p>
    <w:p>
      <w:r>
        <w:rPr>
          <w:b/>
        </w:rPr>
        <w:t>E. 1</w:t>
      </w:r>
    </w:p>
    <w:p>
      <w:r>
        <w:t>Die Berufungsschrift muss ein Rechtsbegehren und dessen Begründung entsprechend den Anforderungen gemäss Art. 221 ZPO (analog) enthalten. Mit</w:t>
      </w:r>
    </w:p>
    <w:p>
      <w:r>
        <w:t>- 7 - der Berufung kann sowohl die unrichtige Rechtsanwendung als auch die unrichti- 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ZPO-Reetz/Theiler, Art. 311 N 36). Der Berufungskläger hat mittels klarer und sauberer Verweisungen auf die Ausführungen vor der Vorinstanz zu zeigen, wo er die massgebenden Be- hauptungen, Erklärungen, Bestreitungen und Einreden erhoben hat. Es ist näm- lich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 che Darstellung der Sach- oder Rechtslage enthalten darf, welche nicht darauf eingeht, was vor der Vorinstanz vorgebracht worden ist. Zwar prüft die Berufungs- instanz nicht nur die geltend gemachten Rügen (Rügeprinzip). Der Berufungsklä- ger hat sich aber mit der Begründung des erstinstanzlichen Entscheids auseinan- derzusetzen; das Gericht muss den angefochtenen Entscheid nicht von sich aus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 chenden Erwägungen gutheissen oder abweisen (vgl. Reetz/Theiler, a.a.O., Art. 310 N 6). Die Berufungsanträge müssen eingangs oder am Ende der Berufungsschrift aufgeführt werden. Weil die kantonale Berufungsinstanz volle Kognition in Tat- und Rechtsfragen hat, genügt es nicht, lediglich die Aufhebung des angefochte- nen Entscheids und dessen Rückweisung an die Vorinstanz zu verlangen, son- dern es muss ein Antrag in der Sache gestellt werden, und zwar grundsätzlich im Rechtsbegehren selber und nicht bloss in der Begründung (BGE 133 III 489 E. 3.1; Reetz/Theiler, a.a.O., Art. 311 N 34; Seiler, Die Berufung nach ZPO, Zü- rich/Basel/Genf 2013, Rz 877). Das Rechtsbegehren muss so bestimmt sein,</w:t>
      </w:r>
    </w:p>
    <w:p>
      <w:r>
        <w:t>- 8 - dass es im Falle der Gutheissung der Klage unverändert zum Urteil erhoben wer- den kann; die auf Geldzahlung gerichteten Berufungsanträge sind zu beziffern. Auf eine Berufung mit einem formell mangelhaften Rechtsbegehren ist aus- nahmsweise einzutreten, wenn sich aus der Begründung, allenfalls in Verbindung mit dem angefochtenen Entscheid, ergibt, was der Berufungskläger in der Sache verlangt bzw. welcher Geldbetrag zuzusprechen ist. Entsprechend sind Rechts- begehren im Lichte der Begründung auszulegen (BGE 137 III 617 E. 4.3 und 6.2). Ein Aufhebungs- und Rückweisungsantrag ist ausnahmsweise dann zuläs- sig, wenn die Rechtsmittelinstanz wegen fehlender Spruchreife nur kassatorisch entscheiden könnte, wenn sie die Rechtsauffassung des Rechtsmittelklägers tei- len würde (BGer 5A_775/2018 vom 15.04.2019, E. 3.4; Hungerbühler, DIKE- Komm-ZPO, Art. 311 N 20, m.w.H.; Jeandin, Commentaire CPC, Art. 311 N 4c).</w:t>
      </w:r>
    </w:p>
    <w:p>
      <w:r>
        <w:rPr>
          <w:b/>
        </w:rPr>
        <w:t>E. 2</w:t>
      </w:r>
    </w:p>
    <w:p>
      <w:r>
        <w:t>Das Begehren, der Kläger sei zu verpflichten, der Beklagten einen Prozess- kostenvorschuss von Fr. 6‘000.– zu bezahlen, wird abgewiesen.</w:t>
      </w:r>
    </w:p>
    <w:p>
      <w:r>
        <w:rPr>
          <w:b/>
        </w:rPr>
        <w:t>E. 3</w:t>
      </w:r>
    </w:p>
    <w:p>
      <w:r>
        <w:t>Das Begehren der Klägerin um Bewilligung der unentgeltlichen Rechtspflege für das Berufungsverfahren wird abgewiesen.</w:t>
      </w:r>
    </w:p>
    <w:p>
      <w:r>
        <w:rPr>
          <w:b/>
        </w:rPr>
        <w:t>E. 4</w:t>
      </w:r>
    </w:p>
    <w:p>
      <w:r>
        <w:t>Die zweitinstanzliche Entscheidgebühr wird auf Fr. 1‘500.– festgesetzt.</w:t>
      </w:r>
    </w:p>
    <w:p>
      <w:r>
        <w:rPr>
          <w:b/>
        </w:rPr>
        <w:t>E. 5</w:t>
      </w:r>
    </w:p>
    <w:p>
      <w:r>
        <w:t>Die Kosten für das zweitinstanzliche Verfahren werden der Beklagten aufer- legt.</w:t>
      </w:r>
    </w:p>
    <w:p>
      <w:r>
        <w:rPr>
          <w:b/>
        </w:rPr>
        <w:t>E. 6</w:t>
      </w:r>
    </w:p>
    <w:p>
      <w:r>
        <w:t>Es werden keine Parteientschädigungen zugesprochen.</w:t>
      </w:r>
    </w:p>
    <w:p>
      <w:r>
        <w:t>- 15 -</w:t>
      </w:r>
    </w:p>
    <w:p>
      <w:r>
        <w:rPr>
          <w:b/>
        </w:rPr>
        <w:t>E. 7</w:t>
      </w:r>
    </w:p>
    <w:p>
      <w:r>
        <w:t>Schriftliche Mitteilung an die Parteien, an den Kläger unter Beilage der Dop- pel von Urk. 94, 96 und 98/2-5, an das Migrationsamt des Kantons Zürich sowie an die Vorinstanz, je gegen Empfangsschein. Die erstinstanzlichen Akten gehen nach unbenütztem Ablauf der Rechtsmit- telfrist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7. November 2019 Obergericht des Kantons Zürich I. Zivilkammer Die Gerichtsschreiberin: lic. iur. M. Reuss Valentini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