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LC190016 vom 29. Juli 2019</w:t>
      </w:r>
    </w:p>
    <w:p>
      <w:r>
        <w:t>ZH Obergericht, 2019-07-29, DE</w:t>
      </w:r>
    </w:p>
    <w:p>
      <w:r>
        <w:rPr>
          <w:b/>
        </w:rPr>
        <w:t xml:space="preserve">Quelle: </w:t>
      </w:r>
      <w:r>
        <w:t>https://mcp.opencaselaw.ch/entscheid/zh_obergericht_LC190016</w:t>
      </w:r>
    </w:p>
    <w:p>
      <w:r>
        <w:t>FR: ZH_OBERGERICHT LC190016 du 29 juillet 2019</w:t>
      </w:r>
    </w:p>
    <w:p>
      <w:r>
        <w:t>IT: ZH_OBERGERICHT LC190016 del 29 luglio 2019</w:t>
      </w:r>
    </w:p>
    <w:p>
      <w:pPr>
        <w:pStyle w:val="Heading2"/>
      </w:pPr>
      <w:r>
        <w:t>Erwägungen</w:t>
      </w:r>
    </w:p>
    <w:p>
      <w:r>
        <w:rPr>
          <w:b/>
        </w:rPr>
        <w:t>E. 1</w:t>
      </w:r>
    </w:p>
    <w:p>
      <w:r>
        <w:t>Mit Urteil vom 7. Dezember 2016 des Einzelgerichts des Bezirksgerichtes Hinwil wurde die Ehe der Parteien geschieden und wurden die Kinderbelange so- wie die finanziellen Folgen der Scheidung geregelt (Urk. 463). Gegen dieses Ur- teil erhoben beide Parteien Berufung. Im Wesentlichen ging es dabei noch um gü- terrechtliche Belange, insbesondere um die Höhe der vom Beklagten an die Klä- gerin zu leistende Abgeltung. Mit Urteil vom 25. Januar 2018 verpflichtete die I. Zivilkammer den Beklagten in Dispositivziffer 5, der Klägerin zur Abgeltung ihrer güterrechtlichen Ansprüche einen Betrag von Fr. 585'827.-- zu bezahlen (Urk. 496 S. 67). Das Bundesgericht hob auf Beschwerde des Beklagten hin diese Disposi- tivziffer auf und erkannte, dass der Beklagte verpflichtet werde, der Klägerin zur Abgeltung ihrer ehegüterrechtlichen Ansprüche Fr. 480'324.-- zu bezahlen. Im Weiteren wurden die Dispositivziffern 10 und 11 (Kosten- und Entschädigungsfol- gen) aufgehoben und die Sache zur Neuverlegung der Kosten für das kantonale Verfahren an das hiesige Gericht zurückgewiesen (Urk. 507 S. 14). Zufolge der Pensionierung von Oberrichter Dr. H.A. Müller wirkt an diesem Verfahren Oberrichter lic. iur. A. Huizinga mit. 2.a) Ausgangsgemäss obsiegt der Beklagte nunmehr mit seiner Berufung vollumfänglich, indem er verpflichtet wird, der Klägerin Fr. 480'324.-- zur Abgel- tung ihrer güterrechtlichen Ansprüche zu bezahlen, was fast genau dem von ihm beantragten Betrag von Fr. 480'498.-- entspricht (vgl. Urk. 462 S. 2). Da die Klä- gerin mit ihrer Berufung praktisch vollständig unterliegt (vgl. Urk. 496 S. 57), sind die gesamten Kosten des Berufungsverfahrens der Klägerin aufzuerlegen (Art. 106 Abs. 1 ZPO). b) Entsprechend hat die Klägerin die Entscheidgebühr des Berufungsverfah- rens von Fr. 16'000.-- zu tragen (vgl. Urk. 496 S. 57). Beide Parteien haben einen Kostenvorschuss geleistet (Klägerin: Fr. 8'000.--; Beklagter: Fr. 12'000.--), wel- cher nun mit den Gerichtskosten zu verrechnen ist. Die Klägerin hat dem Beklag-</w:t>
      </w:r>
    </w:p>
    <w:p>
      <w:r>
        <w:t>- 3 - ten den von diesem geleisteten Kostenvorschuss im Umfang von Fr. 8'000.-- zu ersetzen. Über den Restbetrag (Fr. 4'000.--) des vom Beklagten geleisteten Vor- schusses wird die Obergerichtskasse befinden. Ausserdem hat die Klägerin dem Beklagten die volle Prozessentschädigung von Fr. 10'800.-- (inkl. 8% MwSt) zu bezahlen (vgl. Urk. 496 S. 58).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