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LC180029 vom 24. Mai 2019</w:t>
      </w:r>
    </w:p>
    <w:p>
      <w:r>
        <w:t>ZH Obergericht, 2019-05-24, DE</w:t>
      </w:r>
    </w:p>
    <w:p>
      <w:r>
        <w:rPr>
          <w:b/>
        </w:rPr>
        <w:t xml:space="preserve">Quelle: </w:t>
      </w:r>
      <w:r>
        <w:t>https://mcp.opencaselaw.ch/entscheid/zh_obergericht_LC180029</w:t>
      </w:r>
    </w:p>
    <w:p>
      <w:r>
        <w:t>FR: ZH_OBERGERICHT LC180029 du 24 mai 2019</w:t>
      </w:r>
    </w:p>
    <w:p>
      <w:r>
        <w:t>IT: ZH_OBERGERICHT LC180029 del 24 maggio 2019</w:t>
      </w:r>
    </w:p>
    <w:p>
      <w:pPr>
        <w:pStyle w:val="Heading2"/>
      </w:pPr>
      <w:r>
        <w:t>Erwägungen</w:t>
      </w:r>
    </w:p>
    <w:p>
      <w:r>
        <w:rPr>
          <w:b/>
        </w:rPr>
        <w:t>E. 1</w:t>
      </w:r>
    </w:p>
    <w:p>
      <w:r>
        <w:t>Die Parteien heirateten am tt. September 2004 in Zürich. Aus ihrer Ver- bindung ging der Sohn C._____, geboren tt.mm.2006, hervor (Urk. 23). Mit Ein- gabe vom 6. Februar 2017 reichte der Kläger eine Scheidungsklage bei der Vo- rinstanz ein (Urk. 1). Am 27. April 2017 stellte die Beklagte ein Gesuch um Erlass vorsorglicher Massnahmen (Auskunfts- und Editionsbegehren, Antrag auf Leis- tung eines Prozesskostenvorschusses), das der Kläger mit Eingabe vom 2. Juni 2017 beantwortete (Urk. 16, Urk. 27). Anlässlich der Einigungsverhandlung vom 9. Juni 2017 widersetzte sich die Beklagte einer Scheidung (Prot. I S. 8 f.). Am 18. September 2017 fand eine Instruktions- und Massnahmeverhandlung statt (Prot. I S. 14 ff.). Der Kläger reichte mit Eingabe vom 19. Oktober 2017 seine Klagebe- gründung ein; gleichzeitig stellte er ein Gesuch um Erlass vorsorglicher Mass- nahmen (Urk. 42). Die Massnahmeantwort, mit der die Beklagte weitere Mass- nahmebegehren stellte, datiert vom 11. Dezember 2017 (Urk. 51). Die (auf den Scheidungspunkt beschränkte) Klageantwort ging am 17. Januar 2018 bei der Vo- rinstanz ein (Urk. 55). Mit Verfügung vom 23. Februar 2018 wurde das Grund- buchamt D._____ auf Antrag der Beklagten (Urk. 61) superprovisorisch angewie- sen, auf einer dem Kläger gehörenden Liegenschaft eine Verfügungsbeschrän- kung im Sinne von Art. 178 Abs. 3 ZGB anmerken zu lassen (Urk. 65, Urk. 66a). Der Kläger nahm mit Eingabe vom 14. März 2018 zum Antrag auf Erlass einer Verfügungsbeschränkung Stellung (Urk. 67). Am 18. Mai 2018 fand eine weitere Massnahmeverhandlung und die Hauptverhandlung statt (Prot. I S. 39 ff.). Am 27. Juni 2018 traf die Vorinstanz den eingangs im Dispositiv aufgeführten Entscheid (Urteil und Verfügung), womit sie die Scheidungsklage unter Kostenfolgen zu Las- ten des Klägers abwies, die Verfügungsbeschränkung aufrecht erhielt und sämtli-</w:t>
      </w:r>
    </w:p>
    <w:p>
      <w:r>
        <w:t>- 11 - che übrigen Auskunfts- und Massnahmebegehren als gegenstandslos abschrieb (Urk. 79 = Urk. 82).</w:t>
      </w:r>
    </w:p>
    <w:p>
      <w:r>
        <w:rPr>
          <w:b/>
        </w:rPr>
        <w:t>E. 2</w:t>
      </w:r>
    </w:p>
    <w:p>
      <w:r>
        <w:t>Gegen die Abweisung der Scheidungsklage und die Festsetzung und Ver- teilung der Prozesskosten erhob der Kläger mit Eingabe vom 16. Oktober 2018 Berufung mit den eingangs aufgeführten Anträgen (Urk. 81). Der Kostenvor- schuss wurde rechtzeitig geleistet (Urk. 83, Urk. 84). Die Berufungsantwort ging am 15. Januar 2019 ein (Urk. 86) und wurde dem Kläger mit Verfügung vom 17. Januar 2019 zur Kenntnisnahme zugestellt (Urk. 87).</w:t>
      </w:r>
    </w:p>
    <w:p>
      <w:r>
        <w:rPr>
          <w:b/>
        </w:rPr>
        <w:t>E. 2.1</w:t>
      </w:r>
    </w:p>
    <w:p>
      <w:r>
        <w:t>Die Berufungen wurden form- und fristgerecht erhoben. Sie richten sich gegen einen erstinstanzlichen Endentscheid bzw. gegen erstinstanzliche Ent- scheide über vorsorgliche Massnahmen (Art. 308 Abs. 1 ZPO). Die Scheidungs- klage und die als gegenstandslos erledigt abgeschriebenen Massnahmebegehren sind teilweise nicht vermögensrechtlicher Natur. Das Begehren um Erlass einer Verfügungsbeschränkung und die Auskunftsbegehren sind demgegenüber ver- mögensrechtlicher Natur. Der Streitwert des Begehrens um Erlass einer Verfü- gungsbeschränkung übersteigt Fr. 10'000.– (Art. 308 Abs. 2 ZPO). Bei Aus- kunftsbegehren verzichtet die bundesgerichtliche Rechtsprechung auf präzise Angaben zum Streitwert (BGer 5A_1022/2015 vom 29. April 2016, E. 1.1 und 5A_635/2013 vom 28. Juli 2014, E. 1.2, je mit weiteren Hinweisen). Jedenfalls wäre auch diesbezüglich von einem Streitwert von mehr als Fr. 10'000.– auszu- gehen. Die Kostenvorschüsse von Fr. 4'000.– und Fr. 4'500.– wurden vom Kläger rechtzeitig geleistet (Urk. 83 und 84, Urk. 89/85 und 89/86); der Beklagten wurde kein Kostenvorschuss auferlegt. Auf die Berufungen ist – unter Vorbehalt hinrei- chender Begründung – einzutreten.</w:t>
      </w:r>
    </w:p>
    <w:p>
      <w:r>
        <w:rPr>
          <w:b/>
        </w:rPr>
        <w:t>E. 2.2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w:t>
      </w:r>
    </w:p>
    <w:p>
      <w:r>
        <w:t>- 16 -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 vermissen lassen, ist nicht einzutreten. Die Parteien sind grundsätzlich gehalten, erstinstanzlich gestellte Beweisanträge, denen nicht entsprochen wurde, vor der zweiten Instanz zu wiederholen (BGE 144 III 394 E. 4.2 S. 398). Diese Begrün- dungsanforderungen gelten sinngemäss auch für den Inhalt der Berufungsantwort (BGer 5A_660/2014 vom 17. Juni 2015, E. 4.2 m.w.Hinw.; 4A_258/2015 vom 21. Oktober 2015, E. 2.4.2).</w:t>
      </w:r>
    </w:p>
    <w:p>
      <w:r>
        <w:rPr>
          <w:b/>
        </w:rPr>
        <w:t>E. 2.3</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 BGE 138 III 537 E. 2.2 S. 540; 137 III 385 E. 3 S. 386; BSK BGG-Meyer/Dor- mann, Art. 106 N 11 f.).</w:t>
      </w:r>
    </w:p>
    <w:p>
      <w:r>
        <w:t>- 17 -</w:t>
      </w:r>
    </w:p>
    <w:p>
      <w:r>
        <w:rPr>
          <w:b/>
        </w:rPr>
        <w:t>E. 3</w:t>
      </w:r>
    </w:p>
    <w:p>
      <w:r>
        <w:t>Gegen die Aufrechterhaltung der Verfügungsbeschränkung und Abschrei- bung seiner Massnahmebegehren zufolge Gegenstandslosigkeit (Dispositiv Ziffer 1 und 4 der Verfügung vom 27. Juni 2018) erhob der Kläger mit Eingabe vom 1. Oktober 2018 Berufung (Urk. 89/81). Nach rechtzeitiger Leistung des Kosten- vorschusses und dem Eingang von zwei Noveneingaben (Urk. 89/87 und Urk. 89/90) erstattete die Beklagte mit Eingabe vom 10. Dezember 2018 die Beru- fungsantwort (Urk. 89/93), die dem Kläger mit Verfügung vom 14. Dezember 2018 zur Kenntnisnahme zugestellt wurde (Urk. 89/94).</w:t>
      </w:r>
    </w:p>
    <w:p>
      <w:r>
        <w:rPr>
          <w:b/>
        </w:rPr>
        <w:t>E. 3.1</w:t>
      </w:r>
    </w:p>
    <w:p>
      <w:r>
        <w:t>Der Kläger hält mit seiner Berufung daran fest, dass die Parteien wäh- rend über zweier Jahre vor Klageeinleitung getrennt unter einem Dach gelebt hät- ten (Urk. 81 S. 3). Er wirft der Vorinstanz vor, sie habe in diesem Zusammenhang von ihm genannte Beweismittel ohne Grundangabe übergangen. Er habe an- schaulich ausgeführt, dass jeder Ehegatte ein getrenntes Leben geführt habe und allein in den Ausgang gegangen sei, keine Kommunikation und sexuelle Aktivitä- ten mehr stattgefunden hätten und es keine gemeinsame Abendessen oder kultu- relle Aktivitäten mehr gegeben habe. Die Vorinstanz habe es unterlassen, ihn im Rahmen der Parteibefragung dazu zu befragen, und damit ein "rechtsgenügend vorgebrachtes Beweismittel" nicht abgenommen. Seine Aussagen hätten das tat- sächliche Fundament dafür gebildet, dass die Parteien effektiv (unter einem Dach) getrennt gelebt hätten. Die Trennung sei auch gegenüber Dritten kommu- niziert worden. Er habe die Trennung diversen Freunden und gemeinsamen Be- kannten mitgeteilt, beispielsweise Dr. O._____. Anlässe mit gemeinsamen Freun- den habe es (wie es noch vor 2015 die Regel gewesen sei) nicht gegeben. Diese Zäsur sei klar in Gesprächen "mit diesen Personen" thematisiert worden. Die Vo- rinstanz sei aber mit keinem Wort darauf eingegangen, dass sie Dr. O._____ nicht als Zeugen einvernommen habe. Stattdessen sei sie aufgrund der gemeinsamen Fotos davon ausgegangen, dass die Parteien auch während der Trennung ge- meinsam Ferien gemacht hätten. Da diese Fotos Momentaufnahmen seien, könn- ten sie kein Zusammenleben belegen. Zutreffend sei, dass die Beklagte den Klä- ger gelegentlich auf Geschäftsreisen begleitet habe und diese Reisen als Indiz für ein Zusammenleben gewertet werden könnten. Es sei aber nicht nachvollziehbar, dass die Vorinstanz ausschliesslich darauf abstelle, ohne die Beweisanträge des Klägers zu behandeln (Urk. 81 S. 3 f.).</w:t>
      </w:r>
    </w:p>
    <w:p>
      <w:r>
        <w:rPr>
          <w:b/>
        </w:rPr>
        <w:t>E. 3.2</w:t>
      </w:r>
    </w:p>
    <w:p>
      <w:r>
        <w:t>Die mit Verfügung vom 23. Februar 2018 gestützt auf Art. 178 Abs. 1 ZGB superprovisorisch angeordnete Verfügungsbeschränkung auf der Liegen- schaft N._____ … und … in D._____ hielt die Vorinstanz aufrecht. Sie betrachtete es als naheliegend, dass die Liegenschaft mehrheitlich mit Errungenschaftsmitteln finanziert worden sei. Durch den vom Kläger geplanten Verkauf der Liegenschaft sei zu befürchten – so die Vorinstanz weiter –, dass dem ehelichen Vermögen Li- quidität entzogen werde, die für die Deckung allfälliger unterhaltsrechtlicher und güterrechtlicher Ansprüche der Beklagten benötigt werde. Damit habe die Beklag- te auch ohne genaue Bezifferung eine Gefährdung ihrer künftigen unterhaltsrecht- lichen und güterrechtlichen Ansprüche glaubhaft gemacht (Urk. 82 S. 14 ff.).</w:t>
      </w:r>
    </w:p>
    <w:p>
      <w:r>
        <w:rPr>
          <w:b/>
        </w:rPr>
        <w:t>E. 3.2.1</w:t>
      </w:r>
    </w:p>
    <w:p>
      <w:r>
        <w:t>Der Vorinstanz ist nicht entgangen, dass auch ein Getrenntleben unter einem Dach möglich ist (Urk. 82 S. 11). Sie hat indes gefordert, dass der Wille zum Getrenntleben äusserlich erkennbar wird (Urk. 82 S. 11); entscheidende Be- deutung mass sie dabei dem Zeitpunkt zu, in dem die Beklagte vom Trennungs- wunsch des Klägers Kenntnis erhielt. Demgegenüber hielt sie die Behauptung des Klägers, die Trennung sei Dritten kommuniziert worden, für nicht relevant (Urk. 82 S. 13). Diese Erwägungen werden vom Kläger mit der Berufung nicht</w:t>
      </w:r>
    </w:p>
    <w:p>
      <w:r>
        <w:t>- 18 - beanstandet. Es ist nicht richtig, wenn der Kläger vorbringt, die Vorinstanz sei nicht auf seinen Antrag, Dr. O._____ als Zeugen einzuvernehmen, eingegangen. Sie hielt vielmehr fest, die Einvernahme der vom Kläger angerufenen Zeugen könne unterbleiben, weil nicht relevant sei, ob und wann der Kläger seinen Tren- nungswunsch Dritten mitgeteilt habe (Urk. 82 S. 13 E. 3.6). Da nur rechtserhebli- che, streitige Tatsachen Gegenstand des Beweises sind (Art. 150 Abs. 1 ZPO), ist die Einvernahme von Dr. O._____ zu Recht unterblieben. Damit stösst die Rüge des Klägers, Dr. O._____ hätte als Zeuge befragt werden müssen, ins Leere.</w:t>
      </w:r>
    </w:p>
    <w:p>
      <w:r>
        <w:rPr>
          <w:b/>
        </w:rPr>
        <w:t>E. 3.2.2</w:t>
      </w:r>
    </w:p>
    <w:p>
      <w:r>
        <w:t>Die Behauptung des Klägers, "die Trennung" sei gegenüber Dritten kommuniziert und "die Zäsur" mit Dritten thematisiert worden, ist im Übrigen un- substantiiert. Die Zulassung zum Beweis setzt hinreichend substantiierte Behaup- tungen zum Beweisthema voraus (BK ZPO-Brönnimann, Art. 152 N 31 ff.). Der Kläger konkretisiert nicht näher, was er im Einzelnen seinen Bekannten und Freunden gesagt bzw. was er mit ihnen genau besprochen hat. Der Kläger zeigt in der Berufung auch nicht mit sauberen Aktenverweisen auf, dass er vor Akten- schluss vor Vorinstanz diesbezüglich substantiierte Behauptungen aufgestellt hät- te, die einer Beweisabnahme zugänglich wären.</w:t>
      </w:r>
    </w:p>
    <w:p>
      <w:r>
        <w:rPr>
          <w:b/>
        </w:rPr>
        <w:t>E. 3.3</w:t>
      </w:r>
    </w:p>
    <w:p>
      <w:r>
        <w:t>Zu dem von der Beklagten gestellten Auskunftsbegehren erwog die Vor- instanz, dieses sei unabhängig von seiner konkreten Natur (Massnahmebegehren bzw. Stufenklage) im Rahmen des vorliegenden Scheidungsverfahrens gestellt worden, womit der Auskunftsanspruch vom Bestand des Hauptprozesses abhän- ge. Bei Beendigung desselben müsse der Auskunftsanspruch in einem unabhän- gigen Verfahren oder innerhalb eines neuen Verfahrens geltend gemacht werden. Die Zuständigkeit des Scheidungsgerichts für den Entscheid über vorsorgliche Massnahmen bleibe solange bestehen, bis ein Endurteil über die Scheidung vor- liege. Ausserhalb eines hängigen Scheidungsverfahrens sei der Eheschutzrichter für die Anordnung vorsorglicher Massnahmen zuständig. Mit der Abweisung der Scheidungsklage liege ein Endentscheid über die Scheidung vor, womit die Aus- kunftsbegehren (Ziffer 1 und 2) der Beklagten und die übrigen Begehren der Par- teien um vorsorgliche Massnahmen gegenstandlos geworden seien (Urk. 82 S. 17 f.).</w:t>
      </w:r>
    </w:p>
    <w:p>
      <w:r>
        <w:t>- 15 - III. 1. Die drei Berufungen der Parteien mit den Geschäfts-Nr. LC180029-O, LY180051-O und LY180052-O richten sich gegen das Urteil und die Verfügung des Bezirksgerichts Bülach (Einzelgericht) vom 27. Juni 2018. Die drei Verfahren hängen thematisch eng zusammen und sind nunmehr zu vereinigen (Art. 125 lit. c ZPO). Die Akten des Verfahrens mit der Geschäfts-Nr. LY180051-O sind als Urk. 89/81-95 und die Akten des Verfahrens mit der Geschäfts-Nr. LY180052-O als Urk. 90/81-90 zu den Akten des vorliegenden Verfahrens zu nehmen.</w:t>
      </w:r>
    </w:p>
    <w:p>
      <w:r>
        <w:rPr>
          <w:b/>
        </w:rPr>
        <w:t>E. 3.3.1</w:t>
      </w:r>
    </w:p>
    <w:p>
      <w:r>
        <w:t>Der Kläger und die Beklagte wurden vor Vorinstanz an der Hauptver- handlung einer Parteibefragung (Art. 191 ZPO) unterzogen (Prot. I S. 53 ff., S. 65 f.). Dem Kläger war bereits an der Instruktionsverhandlung vom 18. September 2017 mitgeteilt worden, dass es an ihm liege, "das Vorliegen des Scheidungs- punktes" zu beweisen (Prot. I S. 14). Im Rahmen der Parteibefragungen konnten Ergänzungsfragen gestellt werden (Prot. I S. 58, S. 62). Im Anschluss an die Par- teibefragungen verzichtete der Rechtsvertreter des Klägers ausdrücklich auf die Stellung weiterer Ergänzungsfragen (Prot. I S. 66). Es kann daher keineswegs gesagt werden, das Beweismittel der Parteibefragung sei von der Vorinstanz nicht abgenommen worden. Der Kläger anerkennt im Übrigen, dass die Vorinstanz ein- zig aus seiner Parteiaussage "darüber" (gemeint: ob die Parteien effektiv getrennt lebten oder nicht) ihre Schlüsse zog (Urk. 81 S. 3 Ziff. 4). Die Vorinstanz hat die Aussage des Klägers, der Schlussstrich sei damals (gemeint ist: Ende 2014) noch nicht gezogen worden (Prot. I S. 65), gewürdigt und zugunsten des Klägers fest-</w:t>
      </w:r>
    </w:p>
    <w:p>
      <w:r>
        <w:t>- 19 - gehalten, damit sei noch nicht erstellt, dass kein zweijähriges Getrenntleben vor- liege, zumal offengeblieben sei, ob damit der Schlussstrich der Beziehung oder der Ehe gemeint sei (Urk. 82 S. 11 f.). Der Kläger kann nicht auf die Stellung von Ergänzungsfragen verzichten und nun geltend machen, er sei nicht zum Getrennt- leben befragt worden. Eine Verletzung des Rechts auf Beweis (Art. 152 Abs. 1 ZPO) ist auch mit Bezug auf die Parteibefragung des Klägers nicht ersichtlich.</w:t>
      </w:r>
    </w:p>
    <w:p>
      <w:r>
        <w:rPr>
          <w:b/>
        </w:rPr>
        <w:t>E. 3.3.2</w:t>
      </w:r>
    </w:p>
    <w:p>
      <w:r>
        <w:t>Wiederum geht der Kläger nicht auf die entscheidende Erwägung der Vorinstanz ein, wonach es darauf ankomme, wann die Beklagte vom Trennungs- wunsch des Klägers Kenntnis erhielt. Indem der Kläger dafürhält, jeder Ehegatte habe ein getrenntes Leben (ohne Kommunikation, kulturelle und sexuelle Aktivitä- ten, gemeinsame Abendessen etc.) geführt, zeigt er nicht auf, wann und auf wel- che Weise er seinen Trennungswunsch der Beklagten kommunizierte und – wo- rauf die Beklagte hinweist – für sie erkennbar die Weichenstellung zu einer neuen Lebensorganisation bzw. die Neuorientierung im Zusammenleben (vgl. Urk. 86 S. 4) vornahm. Davon abgesehen lässt es der Kläger auch in dieser Hinsicht an jeg- lichen Verweisen auf seine Vorbringen vor Vorinstanz fehlen. Im Übrigen hat die Vorinstanz im Rahmen der Beweiswürdigung (Urk. 56/20+21, Urk. 56/24) unange- fochten festgestellt, dass es sich bei den von ihr erwähnten, im Jahre 2016 und über den Jahreswechsel 2016/2017 unternommenen Reisen nicht um Geschäfts- reisen handelte. Darauf kann verwiesen werden (Urk. 82 S. 12). Diese Beweis- würdigung vermag der Kläger nicht umzustossen, wenn er berufungsweise vor- trägt, er habe vor Vorinstanz ausgeführt, dass die Beklagte den Kläger gelegent- lich auf Geschäftsreisen begleitet habe (Urk. 81 S. 4 Ziff. 7). Gegenteils anerkennt er, dass diese Reisen als Indiz für ein Zusammenleben gewertet werden können.</w:t>
      </w:r>
    </w:p>
    <w:p>
      <w:r>
        <w:rPr>
          <w:b/>
        </w:rPr>
        <w:t>E. 3.4</w:t>
      </w:r>
    </w:p>
    <w:p>
      <w:r>
        <w:t>Der Kläger vermag weder eine unrichtige Sachverhaltsfeststellung noch eine unrichtige Rechtsanwendung durch die Vorinstanz aufzuzeigen. Nachdem er unbestrittenermassen erst Ende Januar 2017 aus der ehelichen Liegenschaft auszog, war die Trennungsfrist von zwei Jahren bei Rechtshängigkeit der Klage (6. Februar 2017) noch nicht abgelaufen (Urk. 1). Von einer Trennung per Ende Januar 2017 ging der Kläger denn auch ursprünglich aus, wobei er ausführte: "Der Kläger geht davon aus, dass auch die Beklagte die Scheidung will. Aus die-</w:t>
      </w:r>
    </w:p>
    <w:p>
      <w:r>
        <w:t>- 20 - sem Grund hat er das Scheidungsbegehren eingereicht." (Urk. 1 S. 2). Die Vo- raussetzungen von Art. 114 ZGB sind demnach nicht erfüllt. Da das Gesetz ein zweijähriges Getrenntleben im Zeitpunkt des Eintritts der Rechtshängigkeit der Klage verlangt, genügt es nicht, dass die Parteien mittlerweile zwei Jahre getrennt leben (BSK ZGB I-Althaus/Huber/Steck, Art. 114 N 13, mit weiteren Verweisen).</w:t>
      </w:r>
    </w:p>
    <w:p>
      <w:r>
        <w:rPr>
          <w:b/>
        </w:rPr>
        <w:t>E. 4</w:t>
      </w:r>
    </w:p>
    <w:p>
      <w:r>
        <w:t>Gegen die Abschreibung ihrer Auskunftsbegehren und übrigen Mass- nahmebegehren zufolge Gegenstandslosigkeit (Ziffer 2 und 3 der Verfügung vom 27. Juni 2018) erhob die Beklagte mit Eingabe vom 1. Oktober 2018 ebenfalls Be- rufung (90/81). Der Kläger erstattete mit Eingabe vom 6. Dezember 2018 die Be- rufungsantwort (Urk. 90/88), die der Beklagten mit Verfügung vom 14. Dezember 2018 zur Kenntnisnahme zugestellt wurde (Urk. 90/89).</w:t>
      </w:r>
    </w:p>
    <w:p>
      <w:r>
        <w:rPr>
          <w:b/>
        </w:rPr>
        <w:t>E. 4.1</w:t>
      </w:r>
    </w:p>
    <w:p>
      <w:r>
        <w:t>Die Vorinstanz konnte darin, dass die Beklagte ihrerseits ihre Zukunft plane und seit der Trennung vermehrt Zeit in ihrem Herkunftsland (USA) verbrin- ge, kein rechtsmissbräuchliches Verhalten und keinen Anwendungsfall von Art. 115 ZGB erblicken (Urk. 82 S. 13). Der Kläger hält mit seiner Berufung an seiner Auffassung fest, dass sich die Beklagte in rechtsmissbräuchlicher Weise der Scheidung widersetze. Er beruft sich auf BGE 139 III 482 und macht geltend, im vorliegenden Fall bestehe eine ähnliche Situation, wobei er die Umstände schil- dert, die seiner Auffassung nach auf einen Scheidungswillen der Klägerin schlies- sen lassen. Er wirft der Vorinstanz vor, sie habe "in diesem Punkt" (zu Aufenthal- ten der Beklagten in Kalifornien im Jahre 2017 und zu dem von ihr beabsichtigten Umzug nach Kalifornien nach der Scheidung) keine Beweisabnahmen getätigt. Weder seien die Parteien zu den Auslandaufenthalten der Beklagten befragt wor- den, noch sei die Beklagte zur Edition der Reisebelege (Flugbuchungen) aufge- fordert worden. Damit sei klar, dass die Vorinstanz zu Unrecht kein Beweisverfah- ren durchgeführt habe (Urk. 81 S. 5 f.).</w:t>
      </w:r>
    </w:p>
    <w:p>
      <w:r>
        <w:rPr>
          <w:b/>
        </w:rPr>
        <w:t>E. 4.2</w:t>
      </w:r>
    </w:p>
    <w:p>
      <w:r>
        <w:t>Der Kläger legt mit seiner Berufung nicht dar, wo er die von ihm ange- führten Umstände, die seiner Meinung nach auf ein rechtsmissbräuchliches Ver- halten der Beklagten schliessen lassen (Urk. 81 S. 5 f.), bereits vor Vorinstanz in den Prozess eingeführt hat. Insbesondere ist nicht ersichtlich, wo der Kläger aus- führte, dass die Beklagte ihm gegenüber wiederholt (mündlich) klargemacht habe, dass sie die Scheidung wolle. Auch geht aus seinen Darlegungen nicht hervor, wo vor Vorinstanz entsprechende Beweisanträge (Parteibefragung, Urkundenedition) gestellt wurden. Eine Parteibefragung der Beklagten wurde im Übrigen durchge- führt (Prot. I S. 59 ff., S. 66). Der Kläger verzichtete auf die Stellung von Ergän- zungsfragen (Prot. I S. 66). Davon abgesehen hat die Vorinstanz den Standpunkt des Klägers nicht deshalb verworfen, weil sie seine Sachdarstellung als nicht be-</w:t>
      </w:r>
    </w:p>
    <w:p>
      <w:r>
        <w:t>- 21 - wiesen erachtete. Vielmehr verwarf sie den klägerischen Standpunkt aus rechtli- chen Gründen, indem sie dafürhielt, die Planung der Zukunft und vermehrte Auf- enthalte im Herkunftsland könnten nicht als rechtsmissbräuchliches Verhalten und als Anwendungsfall von Art. 115 ZGB taxiert werden. Der Vorwurf der unterlasse- nen Beweisabnahme geht daher fehl.</w:t>
      </w:r>
    </w:p>
    <w:p>
      <w:r>
        <w:rPr>
          <w:b/>
        </w:rPr>
        <w:t>E. 4.3</w:t>
      </w:r>
    </w:p>
    <w:p>
      <w:r>
        <w:t>Nach der bundesgerichtlichen Rechtsprechung dokumentiert der beklag- te Ehegatte seinen Scheidungswillen im Sinne von Art. 292 Abs. 1 lit. b ZPO, wenn er die Abweisung des vor zweijähriger Trennungsfrist eingereichten Schei- dungsbegehrens verlangt, aber seinerseits eine Scheidungsklage anhängig macht (BGE 139 III 482). In diesem Fall ist ein gemeinsames Scheidungsbegehren an- zunehmen. Zu Recht hat die Vorinstanz erwogen, dass aus einem geplanten Wegzug aus der Schweiz und vermehrten Aufenthalten in Kalifornien nicht darauf geschlossen werden kann, dass über den Scheidungspunkt als solchen materiell Einigkeit besteht. Auch aus der Ablehnung der Wiederaufnahme des Zusammen- lebens könnte nicht auf Rechtsmissbrauch geschlossen werden, ansonsten bei jedem Ehegatten, der getrennt leben will, auf einen Scheidungswillen geschlos- sen werden müsste. Der Kläger behauptet, die Beklagte habe ihm gegenüber wiederholt mündlich klargemacht, dass sie die Scheidung möchte; sie beantrage die Abweisung der Scheidungsklage aus prozesstaktischen Gründen und um Druck zu erzeugen (Urk. 81 S. 5). Dieses – von der Beklagten bestrittene (Urk. 86 S. 5 f.) – Vorbringen wird weder substantiiert noch mit Beweisanträgen untermau- ert. Ebenso fehlen Verweise auf (rechtzeitig gestellte) Beweisanträge in den vor- instanzlichen Akten (vgl. E. 4.2). Aber selbst wenn sich die Beklagte einmal ge- genüber dem Kläger in diesem Sinne geäussert hätte, könnte darin (vor dem Hin- tergrund der gerichtlichen Pflicht zur Verifizierung des Scheidungswillens, Art. 111 Abs. 2 ZGB) kein genügendes Einverständnis zur Scheidung im Sinne von Art. 292 Abs. 1 lit. b ZPO erblickt werden. Die Beklagte hat vor Vorinstanz nämlich klipp und klar erklärt, sie sei mit einer Scheidung nicht einverstanden (Prot. I S. 9). Andere Unzumutbarkeitsgründe im Sinne von Art. 115 ZGB (vgl. dazu etwa BSK ZGB I-Althaus/Steck, Art. 115 N 13 ff.) wurden nicht geltend gemacht. Die Vor- instanz ist daher zu Recht zum Ergebnis gelangt, es liege weder ein Rechtsmiss-</w:t>
      </w:r>
    </w:p>
    <w:p>
      <w:r>
        <w:t>- 22 - brauch bzw. eine Zustimmung der Beklagten zur Scheidung vor, noch sei ein Un- zumutbarkeitsgrund auf Seiten des Klägers (Art. 115 ZGB) gegeben.</w:t>
      </w:r>
    </w:p>
    <w:p>
      <w:r>
        <w:rPr>
          <w:b/>
        </w:rPr>
        <w:t>E. 5</w:t>
      </w:r>
    </w:p>
    <w:p>
      <w:r>
        <w:t>Der Kläger wird verpflichtet, der Beklagten für die zweitinstanzlichen Verfah- ren eine Parteientschädigung von Fr. 4'000.– zu bezahlen.</w:t>
      </w:r>
    </w:p>
    <w:p>
      <w:r>
        <w:rPr>
          <w:b/>
        </w:rPr>
        <w:t>E. 6</w:t>
      </w:r>
    </w:p>
    <w:p>
      <w:r>
        <w:t>Schriftliche Mitteilung an die Parteien, an das Migrationsamt des Kantons Zürich, an die Vorinstanz sowie hinsichtlich Dispositiv-Ziffer 2 im Auszug an das Grundbuchamt D._____, je gegen Empfangsschein, und an die Oberge- richtskasse. Die erst- und zweitinstanzlichen Akten werden nach unbenütztem Ablauf der Rechtsmittelfrist der Vorinstanz zugestellt.</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(Dispositiv-Ziffer 1) und ein Ent- scheid über vorsorgliche Massnahmen im Sinne von Art. 98 BGG (Dispositiv-Ziffer 2).</w:t>
      </w:r>
    </w:p>
    <w:p>
      <w:r>
        <w:t>- 32 - Es handelt sich um eine nicht vermögensrechtliche Streitigkeit. Die Beschwerde an das Bundesgericht hat keine aufschiebende Wirkung. Hinsichtlich des Fristenlaufs gelten die Art. 44 ff. BGG. Zürich, 24. Mai 2019 Obergericht des Kantons Zürich I. Zivilkammer Die Vorsitzende: Der Gerichtsschreiber: Dr. L. Hunziker Schnider Dr. M. Nietlispach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