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LC180020 vom 4. Februar 2019</w:t>
      </w:r>
    </w:p>
    <w:p>
      <w:r>
        <w:t>ZH Obergericht, 2019-02-04, DE</w:t>
      </w:r>
    </w:p>
    <w:p>
      <w:r>
        <w:rPr>
          <w:b/>
        </w:rPr>
        <w:t xml:space="preserve">Quelle: </w:t>
      </w:r>
      <w:r>
        <w:t>https://mcp.opencaselaw.ch/entscheid/zh_obergericht_LC180020</w:t>
      </w:r>
    </w:p>
    <w:p>
      <w:r>
        <w:t>FR: ZH_OBERGERICHT LC180020 du 4 février 2019</w:t>
      </w:r>
    </w:p>
    <w:p>
      <w:r>
        <w:t>IT: ZH_OBERGERICHT LC180020 del 4 febbraio 2019</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 zu zeigen, wo er die massgebenden Behauptungen, Erklärungen, Bestreitungen und Einreden erhoben hat. Die Parteien haben die von ihnen kritisierten Erwä- gungen des angefochtenen Entscheids wie auch die Aktenstücke, auf die sie ihre Kritik stützen, genau zu bezeichnen (BGE 138 III 374 E. 4.3.1.; BGer 4A_580/ 2015 vom 11.04.2016, E. 2.2. [nicht publiziert in BGE 142 III 271]). Was nicht in einer den gesetzlichen Begründungsanforderungen genügenden Weise bean- standet wird, braucht von der Rechtsmittelinstanz nicht überprüft zu werden. Es ist nämlich nicht Sache der Rechtsmittelinstanz, die Akten und die Rechtsschriften der Vorinstanz zu durchforsten, um festzustellen, was welche Partei wo ausge- führt hat. Damit ist gesagt, dass die Berufungsschrift weder eine pauschale Ver- weisung auf die bei der Vorinstanz eingereichten Rechtsschriften noch eine neu- erliche Darstellung der Sach- oder Rechtslage enthalten darf, welche nicht darauf eingeht, was vor der Vorinstanz vorgebracht worden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 schrift mit allen Begründungen auseinandersetzen. Das Gleiche gilt im Falle von Haupt- und Eventualbegründung. Auch hier muss sich der Berufungskläger mit beiden Begründungen auseinandersetzen (Hungerbühler/Bucher, DIKE-Komm-</w:t>
      </w:r>
    </w:p>
    <w:p>
      <w:r>
        <w:t>- 5 - ZPO, Art. 311 N 42 f.). Nach bundesgerichtlicher Rechtsprechung ist das Beru- fungsgericht nicht gehalten, von sich aus wie eine erstinstanzliche Gerichtsbehör- de alle sich stellenden tatsächlichen und rechtlichen Fragen zu untersuchen, wenn keine entsprechenden Rügen der Parteien vor der zweiten Instanz vorlie- gen. 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 den, auch wenn mangels entsprechender Sachverhaltsrügen der Parteien im Be- rufungsverfahren der erstinstanzliche Entscheid nach dem Gesagten in der Regel als Grundlage des Rechtsmittelverfahrens dient (BGer 4A_629/2017 vom 17.07. 2018, E. 4.1.4, m.w.H.).</w:t>
      </w:r>
    </w:p>
    <w:p>
      <w:r>
        <w:rPr>
          <w:b/>
        </w:rPr>
        <w:t>E. 2</w:t>
      </w:r>
    </w:p>
    <w:p>
      <w:r>
        <w:t>a) Die Gesuchstellerin rügt, das Bezirksgericht habe nach zweimaligem Schriftenwechsel das Teilurteil gefällt, ohne die von Gesetzes wegen im ordentli- chen Verfahren in Art. 228 ZPO vorgesehene Hauptverhandlung durchgeführt zu haben und ohne dass die Parteien auf deren Durchführung verzichtet hätten. Die Gesuchstellerin sei dadurch um ihr Recht gebracht worden, in der Hauptverhand- lung allfällige Noven gemäss Art. 229 ZPO vorzubringen. Es liege ein schwerer formeller Fehler vor, weshalb das Teilurteil aufzuheben sei. Am 31. August 2017 habe zwar eine Verhandlung stattgefunden, doch habe diese nicht das Hauptver- fahren, sondern das Verfahren betreffend Abänderung der monatlichen Unter- haltszahlungen während der Dauer des Scheidungsverfahrens betroffen. Irrele- vant sei daher auch, ob die Gesuchstellerin eine anlässlich dieser Verhandlung in Aussicht gestellte Liste (der Schweizer Banken, welche um Auskunft ersucht wür- den) eingereicht habe oder nicht (Urk. 329 S. 3 f.). Der Gesuchsteller erklärt, er verzichte auf die nachträgliche Durchführung der Hauptverhandlung. Es sei davon auszugehen, dass dies auch die Gesuchstel- lerin tue, da sie ausdrücklich nicht die Rückweisung des Verfahrens zwecks</w:t>
      </w:r>
    </w:p>
    <w:p>
      <w:r>
        <w:t>- 6 - Durchführung einer Hauptverhandlung beantrage. Sie mache zwar geltend, um ihr Novenrecht gebracht worden zu sein, doch bringe sie im Berufungsverfahren kei- ne Noven vor. Nachdem bereits zweimal Entscheide in der Frage der Stufenklage wegen Verfahrensfehlern der Vorinstanz hätten aufgehoben werden müssen, rechtfertige es sich schon aus prozessökonomischen Gründen, dass die Beru- fungsinstanz einen Entscheid in der Sache fälle (Urk. 339 S. 2 f.). b) Die Parteien stehen im Scheidungsverfahren auf gemeinsames Begehren nach Art. 112 ZGB (Teileinigung; Urk. 1 und 2). Für die strittig gebliebenen Schei- dungsfolgen wird das Verfahren kontradiktorisch fortgesetzt (Art. 288 Abs. 2 ZPO). Es gelten die Grundsätze des Verfahrens bei Scheidungsklage (Art. 290 ff. ZPO) und des ordentlichen Verfahrens (Art. 219 ZPO). Das Verfahren ist schrift- lich, wobei ein zweiter Schriftenwechsel durchgeführt werden kann (Art. 291 Abs. 3 ZPO; Art. 225 ZPO; FamKomm Scheidung/Fankhauser, Anh. ZPO Art. 288 N 13). Das Gesetz sieht danach eine Hauptverhandlung vor, zu der die Parteien persönlich erscheinen müssen (Art. 228 ff. ZPO; Art. 278 ZPO). Die Parteien kön- nen gemeinsam auf die Durchführung der Hauptverhandlung verzichten (Art. 233 ZPO; für das Scheidungsverfahren: Bähler, DIKE-Komm-ZPO, Art. 288 N 57; CR CPC-Tappy, Art. 233 N 5). Ein Verzicht kann auch konkludent erfolgen (BGE 140 III 454, E. 3.2). Ohne Durchführung der Hauptverhandlung oder ohne dass ein Verzicht auf deren Durchführung vorliegt, darf das Gericht keinen verfahrensab- schliessenden Endentscheid fällen (BGE 140 III 453 f., E. 3.2; Kriech, DIKE- Komm-ZPO, Art. 236 N 9). Der Verzicht muss daher spätestens vor der Urteilsfäl- lung vorliegen (vgl. auch BSK ZPO-Willisegger, Art. 233 N 11). Wurde keine Hauptverhandlung durchgeführt und auf diese nicht verzichtet, liegt ein Verfah- rensfehler vor, der, sofern er im Rechtsmittelverfahren gerügt wird, zur Rückwei- sung der Sache an die Vorinstanz zur rechtskonformen Durchführung des Verfah- rens und zu anschliessender neuer Entscheidung führt. Indessen ist die Durchfüh- rung einer Hauptverhandlung nicht unabdingbar: Die fehlende Hauptverhandlung ist kein Mangel, der von Amtes wegen zu beheben wäre. Wie die Parteien auf die Durchführung einer Hauptverhandlung verzichten können, können sie auch darauf verzichten, diesen Mangel zu rügen. Vorliegend hat die Gesuchstellerin die feh- lende Hauptverhandlung zwar gerügt, aber – wie der Gesuchsteller zutreffend und unwidersprochen bemerkt – keine Rückweisung der Sache an die Vorinstanz zur Durchführung der Hauptverhandlung beantragt, sondern vielmehr einen Entscheid</w:t>
      </w:r>
    </w:p>
    <w:p>
      <w:r>
        <w:t>- 7 - in der Sache verlangt. Da die Gesuchstellerin rechtskundig vertreten ist, ist davon auszugehen, dass sie bewusst keine Rückweisung beantragt hat und es sich nicht um ein Versehen handelt, dies umso mehr, als sie in keiner Art und Weise konkretisiert, welche Noven sie an einer Hauptverhandlung hätte vorbringen wol- len. Daher bleibt der Verfahrensfehler der Vorinstanz sanktionslos.</w:t>
      </w:r>
    </w:p>
    <w:p>
      <w:r>
        <w:rPr>
          <w:b/>
        </w:rPr>
        <w:t>E. 3</w:t>
      </w:r>
    </w:p>
    <w:p>
      <w:r>
        <w:t>Die Einlegung der Berufung hemmt den Eintritt der Rechtskraft nur im Umfang der Anträge (Art. 315 Abs. 1 ZPO). Die nicht angefochtenen Teile des Ur- teils werden demnach von Bundesrechts wegen formell rechtskräftig und voll- streckbar. Vorliegend ist deshalb das Teilurteil der Vorinstanz vom 28. Mai 2018 hinsichtlich Dispositivziffer 2 mit Eingang der Berufungsantwort am 8. Oktober 2018 rechtskräftig geworden (vgl. zum Zeitpunkt Reetz/Hilber, in: Sutter-Somm et al., ZPO Komm., Art. 315 N 6 und 15). Dies ist vorzumerken.</w:t>
      </w:r>
    </w:p>
    <w:p>
      <w:r>
        <w:rPr>
          <w:b/>
        </w:rPr>
        <w:t>E. 4</w:t>
      </w:r>
    </w:p>
    <w:p>
      <w:r>
        <w:t>Die Gesuchstellerin wird verpflichtet, dem Gesuchsteller für das zweitin- stanzliche Verfahren eine Parteientschädigung von Fr. 6‘000.– zu bezahlen.</w:t>
      </w:r>
    </w:p>
    <w:p>
      <w:r>
        <w:rPr>
          <w:b/>
        </w:rPr>
        <w:t>E. 5</w:t>
      </w:r>
    </w:p>
    <w:p>
      <w:r>
        <w:t>Schriftliche Mitteilung an die Parteien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Angelegenheit. Der Streitwert beträgt Fr. 1 Mio. Die Beschwerde an das Bundesgericht hat keine aufschiebende Wirkung. Hinsichtlich des Fristenlaufs gelten die Art. 44 ff. BGG.</w:t>
      </w:r>
    </w:p>
    <w:p>
      <w:r>
        <w:t>- 29 - Zürich, 4. Februar 2019 Obergericht des Kantons Zürich I. Zivilkammer Die Vorsitzende: Die Gerichtsschreiberin: Dr. L. Hunziker Schnider lic. iur. R. Blesi Keller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