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LC170024 vom 19. Dezember 2017</w:t>
      </w:r>
    </w:p>
    <w:p>
      <w:r>
        <w:t>ZH Obergericht, 2017-12-19, DE</w:t>
      </w:r>
    </w:p>
    <w:p>
      <w:r>
        <w:rPr>
          <w:b/>
        </w:rPr>
        <w:t xml:space="preserve">Quelle: </w:t>
      </w:r>
      <w:r>
        <w:t>https://mcp.opencaselaw.ch/entscheid/zh_obergericht_LC170024</w:t>
      </w:r>
    </w:p>
    <w:p>
      <w:r>
        <w:t>FR: ZH_OBERGERICHT LC170024 du 19 décembre 2017</w:t>
      </w:r>
    </w:p>
    <w:p>
      <w:r>
        <w:t>IT: ZH_OBERGERICHT LC170024 del 19 dicembre 2017</w:t>
      </w:r>
    </w:p>
    <w:p>
      <w:pPr>
        <w:pStyle w:val="Heading2"/>
      </w:pPr>
      <w:r>
        <w:t>Erwägungen</w:t>
      </w:r>
    </w:p>
    <w:p>
      <w:r>
        <w:rPr>
          <w:b/>
        </w:rPr>
        <w:t>E. 1</w:t>
      </w:r>
    </w:p>
    <w:p>
      <w:r>
        <w:t>Die Parteien heirateten am tt. September 1992. Sie haben zwei Töchter: H._____, geboren am tt. August 1993, und C._____, geboren am tt. Oktober 1996 (Urk. 16). Mit Urteil vom 24. April 2012 wurde vorgemerkt, dass die Parteien seit dem 25. Januar 2012 getrennt leben; zugleich wurden die Folgen des Getrenntle- bens geregelt (Urk. 10/6/19).</w:t>
      </w:r>
    </w:p>
    <w:p>
      <w:r>
        <w:rPr>
          <w:b/>
        </w:rPr>
        <w:t>E. 2</w:t>
      </w:r>
    </w:p>
    <w:p>
      <w:r>
        <w:t>Mit Eingabe vom 18. August 2014 machte der Kläger die Scheidungskla- ge bei der Vorinstanz anhängig (Urk. 1). Am 30. Mai 2017 fällte die Vorinstanz das eingangs im Dispositiv wiedergegebene Urteil, mit dem sie der Beklagten ei- nen nachehelichen Unterhaltsbeitrag von Fr. 1'010.– bis und mit Juli 2018 zu- sprach (Urk. 94 = Urk. 99 [Dispositiv Ziffer 3]).</w:t>
      </w:r>
    </w:p>
    <w:p>
      <w:r>
        <w:rPr>
          <w:b/>
        </w:rPr>
        <w:t>E. 3</w:t>
      </w:r>
    </w:p>
    <w:p>
      <w:r>
        <w:t>Diese Vereinbarung basiert auf folgenden finanziellen Grundlagen: − Monatliches Nettoeinkommen Kläger: Fr. 12'530.– (100%-Tätigkeit, inkl. Bo- nus und Spesen) − Vermögen Kläger nach güterrechtlicher Auseinandersetzung: Fr. 0.– (exkl. Anteil Verkaufserlös Liegenschaft D._____-Strasse … in E._____) − Monatliches Nettoeinkommen Beklagte: Fr. 5'070.80 (100%-Tätigkeit) − Vermögen Beklagte nach güterrechtlicher Auseinandersetzung: Fr. 155'392.35 (exkl. Anteil Verkaufserlös Liegenschaft D._____-Strasse … in E._____) − Bedarf Beklagte Fr. 6'070.60 (Fr. 5'930.60 zuzüglich Fr. 140.– Vorsorgeunter- halt). − Monatliches Nettoeinkommen C._____: Fr. 700.– (20-Tätigkeit) zuzüglich Ausbildungszulagen von Fr. 250.– − Vermögen C._____: Fr. 0.–</w:t>
      </w:r>
    </w:p>
    <w:p>
      <w:r>
        <w:rPr>
          <w:b/>
        </w:rPr>
        <w:t>E. 4</w:t>
      </w:r>
    </w:p>
    <w:p>
      <w:r>
        <w:t>Die Beklagte verpflichtet sich, ab 1. Januar 2018 die Hypothekarzinsen für die ehe- liche Liegenschaft D._____-Strasse …, E._____, zu übernehmen und an die Zür- cher Kantonalbank zu bezahlen.</w:t>
      </w:r>
    </w:p>
    <w:p>
      <w:r>
        <w:rPr>
          <w:b/>
        </w:rPr>
        <w:t>E. 5</w:t>
      </w:r>
    </w:p>
    <w:p>
      <w:r>
        <w:t>a) Die Beklagte verpflichtet sich, die eheliche Liegenschaft D._____-Strasse …, E._____, bis 30. Juni 2018 zu verlassen und zu räumen.</w:t>
      </w:r>
    </w:p>
    <w:p>
      <w:r>
        <w:t>- 13 - b) Sollte der Eigentumsübergang der ehelichen Liegenschaft nach 1. Juli 2018 er- folgen und die Beklagte nicht mehr im Haus wohnen, tragen die Parteien die Kos- ten der Liegenschaft ab 1. Juli 2018 als Miteigentümer je zur Hälfte.</w:t>
      </w:r>
    </w:p>
    <w:p>
      <w:r>
        <w:rPr>
          <w:b/>
        </w:rPr>
        <w:t>E. 6</w:t>
      </w:r>
    </w:p>
    <w:p>
      <w:r>
        <w:t>Schriftliche Mitteilung an die Parteien sowie an die Vorinstanz, je gegen Empfangsschein.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19. Dezember 2017 Obergericht des Kantons Zürich I. Zivilkammer Die Vorsitzende: Der Gerichtsschreiber: Dr. L. Hunziker Schnider lic. iur. Ch. Büchi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