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LC170022 vom 23. Oktober 2017</w:t>
      </w:r>
    </w:p>
    <w:p>
      <w:r>
        <w:t>ZH Obergericht, 2017-10-23, DE</w:t>
      </w:r>
    </w:p>
    <w:p>
      <w:r>
        <w:rPr>
          <w:b/>
        </w:rPr>
        <w:t xml:space="preserve">Quelle: </w:t>
      </w:r>
      <w:r>
        <w:t>https://mcp.opencaselaw.ch/entscheid/zh_obergericht_LC170022</w:t>
      </w:r>
    </w:p>
    <w:p>
      <w:r>
        <w:t>FR: ZH_OBERGERICHT LC170022 du 23 octobre 2017</w:t>
      </w:r>
    </w:p>
    <w:p>
      <w:r>
        <w:t>IT: ZH_OBERGERICHT LC170022 del 23 ottobre 2017</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 instanz zu zeigen, wo er die massgebenden Behauptungen, Erklärungen, Bestrei- tungen und Einreden erhoben hat. Es ist nämlich nicht Sache der Rechtsmittel-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Zwar prüft die Berufungsinstanz nicht nur die geltend gemach- ten Rügen (Rügeprinzip). Aber das Gericht muss den angefochtenen Entscheid nicht von sich aus auf Mängel untersuchen, es sei denn, der Sachverhalt sei ge- radezu willkürlich festgestellt worden oder das Recht sei geradezu willkürlich an- gewandt worden (Reetz/Theiler, a.a.O.). Aufgrund der umfassenden Überprü- fungsbefugnis ist die Berufungsinstanz nicht an die mit den Rügen vorgebrachten Argumente oder an die Erwägungen der Vorinstanz gebunden, sie kann die Rü- gen auch mit abweichenden Erwägungen gutheissen oder abweisen (vgl. Reetz/ Theiler, a.a.O., Art. 310 N 6).</w:t>
      </w:r>
    </w:p>
    <w:p>
      <w:r>
        <w:rPr>
          <w:b/>
        </w:rPr>
        <w:t>E. 2</w:t>
      </w:r>
    </w:p>
    <w:p>
      <w:r>
        <w:t>Der Beklagte wies zur Begründung seines Gesuchs darauf hin, dass er aufgrund eines Unfalls im Jahre 2010 zu 100 % arbeitsunfähig sei. Er erhalte nach wie vor keine IV-Rente und sei vollumfänglich auf Sozialhilfe angewiesen (Urk. 95 S. 15). Diese Unterstützung wird durch den Leistungsentscheid des So- zialzentrums G._____ für die Zeit vom 1. Oktober 2016 bis 30. September 2017 belegt (Urk. 98/2). Gemäss Urteil der Vorinstanz vom 23. März 2017 ist der Be- klagte seit mehreren Jahren arbeitsunfähig (Urk. 96 S. 6). Über Vermögenswerte verfügt er offensichtlich nicht (vgl. Urk. 96 S. 16; Urk. 65/14). Seine Mittellosigkeit ist ausgewiesen. Dagegen muss die Berufung des Beklagten von vornherein als aussichtslos gewertet werden, wie sich aus den Erwägungen unter Ziff. III ergibt. Das Gesuch des Beklagten um Gewährung der unentgeltlichen Rechtspflege ist daher abzuweisen.</w:t>
      </w:r>
    </w:p>
    <w:p>
      <w:r>
        <w:rPr>
          <w:b/>
        </w:rPr>
        <w:t>E. 3</w:t>
      </w:r>
    </w:p>
    <w:p>
      <w:r>
        <w:t>Das Gesuch der Klägerin um unentgeltliche Rechtsverbeiständung für das Berufungsverfahren wird abgewiesen.</w:t>
      </w:r>
    </w:p>
    <w:p>
      <w:r>
        <w:rPr>
          <w:b/>
        </w:rPr>
        <w:t>E. 4</w:t>
      </w:r>
    </w:p>
    <w:p>
      <w:r>
        <w:t>Das Gesuch des Beklagten um Gewährung der unentgeltlichen Rechtspfle- ge für das Berufungsverfahren wird abgewiesen.</w:t>
      </w:r>
    </w:p>
    <w:p>
      <w:r>
        <w:rPr>
          <w:b/>
        </w:rPr>
        <w:t>E. 5</w:t>
      </w:r>
    </w:p>
    <w:p>
      <w:r>
        <w:t>Schriftliche Mitteilung an die Parteien, an das für Zürich zuständige Zivil- standsamt, an das Migrationsamt des Kantons Zürich, an die Pensionskasse Freizügigkeitsstiftung der C._____, … [Adresse] (im Auszug gemäss Dispo- sitiv-Ziffern 1 und 4 des vorinstanzlichen Urteils), an die Stiftung Auffangein- richtung BVG, Freizügigkeitskonten, Postfach, 8036 Zürich (im Auszug ge- mäss Dispositiv-Ziffern 1 und 4 des vorinstanzlichen Urteils) sowie an die Vorinstanz, je gegen Empfangsschein. Die erstinstanzlichen Akten gehen nach unbenütztem Ablauf der Rechtsmit- telfrist an die Vorinstanz zurück.</w:t>
      </w:r>
    </w:p>
    <w:p>
      <w:r>
        <w:rPr>
          <w:b/>
        </w:rPr>
        <w:t>E. 6</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23. Oktober 2017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