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LC160035 vom 2. September 2016</w:t>
      </w:r>
    </w:p>
    <w:p>
      <w:r>
        <w:t>ZH Obergericht, 2016-09-02, DE</w:t>
      </w:r>
    </w:p>
    <w:p>
      <w:r>
        <w:rPr>
          <w:b/>
        </w:rPr>
        <w:t xml:space="preserve">Quelle: </w:t>
      </w:r>
      <w:r>
        <w:t>https://mcp.opencaselaw.ch/entscheid/zh_obergericht_LC160035</w:t>
      </w:r>
    </w:p>
    <w:p>
      <w:r>
        <w:t>FR: ZH_OBERGERICHT LC160035 du 2 septembre 2016</w:t>
      </w:r>
    </w:p>
    <w:p>
      <w:r>
        <w:t>IT: ZH_OBERGERICHT LC160035 del 2 settembre 2016</w:t>
      </w:r>
    </w:p>
    <w:p>
      <w:pPr>
        <w:pStyle w:val="Heading2"/>
      </w:pPr>
      <w:r>
        <w:t>Erwägungen</w:t>
      </w:r>
    </w:p>
    <w:p>
      <w:r>
        <w:rPr>
          <w:b/>
        </w:rPr>
        <w:t>E. 1</w:t>
      </w:r>
    </w:p>
    <w:p>
      <w:r>
        <w:t>a) Mit Urteil vom 12. April 2016 hatte das Bezirksgericht Horgen (Vorinstanz) das durch die Scheidungsklage vom 1. September 2011 eingeleitete Scheidungsverfahren der Parteien abgeschlossen (Urk. 648). Hiergegen hatte die Beklagte am 17. Mai 2016 die vorliegende Berufung erhoben und die vorstehend aufgeführten Berufungsanträge gestellt (Urk. 647). Die vom Kläger erhobene Be- rufung wird hierorts unter der Geschäfts-Nummer LC160034-O geführt. b) Mit Verfügung vom 25. Mai 2016 war der Beklagten Frist zur Leistung eines Vorschusses von Fr. 8'000.-- für die Gerichtskosten des Berufungsverfah- ren angesetzt worden (Urk. 652; erstreckt bis 11. Juli 2016, Urk. 653). Mit Verfü- gung vom 14. Juli 2016 war das (erneute) Fristerstreckungsgesuch der Beklagten abgewiesen und ihr eine Nachfrist zur Leistung des Gerichtskostenvorschusses angesetzt worden (Urk. 660). Beide Verfügungen ergingen unter der Androhung, dass bei Nichtleistung des Vorschusses innert Nachfrist auf die Berufung nicht eingetreten werde (Urk. 652, Urk. 660). c) Die Beklagte hat den ihr auferlegten Vorschuss innert der am 25. Au- gust 2016 abgelaufenen Nachfrist nicht geleistet. Androhungsgemäss ist daher auf ihre Berufung nicht einzutreten (Art. 101 Abs. 3, Art. 59 Abs. 2 lit. f ZPO).</w:t>
      </w:r>
    </w:p>
    <w:p>
      <w:r>
        <w:rPr>
          <w:b/>
        </w:rPr>
        <w:t>E. 2</w:t>
      </w:r>
    </w:p>
    <w:p>
      <w:r>
        <w:t>a) Das Berufungsverfahren beschlägt eine nicht vermögensrechtli- che Streitigkeit. Die zweitinstanzliche Entscheidgebühr ist in Anwendung von § 6 Abs. 1 in Verbindung mit § 5, § 10 Abs. 1 und § 12 der Gerichtsgebührenverord- nung auf Fr. 1'000.-- festzusetzen. b) Die Gerichtskosten des Berufungsverfahrens sind ausgangsgemäss der Beklagten aufzuerlegen (Art. 106 Abs. 1 ZPO). c) Für das Berufungsverfahren sind keine Parteientschädigungen zuzu- sprechen, der Beklagten zufolge ihres Unterliegens, dem Kläger mangels relevan- ter Umtriebe (Art. 95 Abs. 3, Art. 106 Abs. 1 ZPO).</w:t>
      </w:r>
    </w:p>
    <w:p>
      <w:r>
        <w:t>- 4 -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