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LC160034 vom 6. Dezember 2016</w:t>
      </w:r>
    </w:p>
    <w:p>
      <w:r>
        <w:t>ZH Obergericht, 2016-12-06, DE</w:t>
      </w:r>
    </w:p>
    <w:p>
      <w:r>
        <w:rPr>
          <w:b/>
        </w:rPr>
        <w:t xml:space="preserve">Quelle: </w:t>
      </w:r>
      <w:r>
        <w:t>https://mcp.opencaselaw.ch/entscheid/zh_obergericht_LC160034</w:t>
      </w:r>
    </w:p>
    <w:p>
      <w:r>
        <w:t>FR: ZH_OBERGERICHT LC160034 du 6 décembre 2016</w:t>
      </w:r>
    </w:p>
    <w:p>
      <w:r>
        <w:t>IT: ZH_OBERGERICHT LC160034 del 6 dicembre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Schreiben vom 1. Dezember 2016, beim Obergericht eingegangen am</w:t>
      </w:r>
    </w:p>
    <w:p>
      <w:r>
        <w:rPr>
          <w:b/>
        </w:rPr>
        <w:t>E. 5</w:t>
      </w:r>
    </w:p>
    <w:p>
      <w:r>
        <w:t>Dezember 2016, zog der Kläger die Berufung zurück (Urk. 682). Ein Klage- rückzug hat die Wirkung eines rechtskräftigen Entscheides (Art. 241 Abs. 2 ZPO). Dies hat auch für die Rückzugserklärung einer Berufung zu gelten. Demzufolge ist das Berufungsverfahren abzuschreiben (Art. 241 Abs. 3 ZPO). Dementsprechend fällt die von der Beklagten erhobene Anschlussberufung (Urk. 669) ohne Weiteres dahin (Art. 313 lit. c ZPO), da sich das Verfahren noch nicht im Stadium der Ur- teilsberatung befindet. 2.a) Mit dem Rückzug wird auch die erstinstanzliche Regelung der Kosten- und Entschädigungsfolge rechtskräftig. b) Ausgangsgemäss sind die Prozesskosten des Rechtsmittelverfahrens in der Höhe von Fr. 3'500.-- (§ 5 Abs. 1, § 6 Abs. 1, § 10 Abs. 1 , § 12 Abs. 1 und 2 GebV OG) dem Kläger als unterliegende Partei aufzuerlegen (Art. 106 Abs. 1 ZPO). Aufgrund seines Unterliegens im Berufungsverfahren hat der Kläger der Beklagten für das Berufungsverfahren eine Parteientschädigung zu bezahlen (Art. 106 Abs. 1 ZPO). Der Hinweis des Klägers auf Art. 117 Abs. 1 lit. c und f ZPO (wohl Art. 107 Abs. 1 lit. c und f ZPO gemeint) ist vorliegend unbehelflich. Nachdem er die Berufung zurückgezogen hat, sind die Motive für die Erhebung der Berufung wie auch der mutmassliche Ausgang des Berufungsverfahrens - an- ders als beispielsweise bei Eintritt der Gegenstandslosigkeit - ohne Belang. Es rechtfertigt sich vorliegend jedenfalls nicht, von der ordentlichen Regelung der Kosten- und Entschädigungsfolgen gemäss Art. 106 Abs. 1 ZPO abzuweichen. Der Kläger hat der Beklagten für das Berufungsverfahren eine Parteientschädi- gung von Fr. 3'000.-- , zuzüglich 8% Mehrwertsteuer von Fr. 240.--, zu entrichten (§ 5 Abs. 1, § 6 Abs. 1, § 11 Abs. 1, § 13 Abs. 1 und 2 AnwGebVO).</w:t>
      </w:r>
    </w:p>
    <w:p>
      <w:r>
        <w:t>- 3 -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