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LC160013 vom 30. September 2016</w:t>
      </w:r>
    </w:p>
    <w:p>
      <w:r>
        <w:t>ZH Obergericht, 2016-09-30, DE</w:t>
      </w:r>
    </w:p>
    <w:p>
      <w:r>
        <w:rPr>
          <w:b/>
        </w:rPr>
        <w:t xml:space="preserve">Quelle: </w:t>
      </w:r>
      <w:r>
        <w:t>https://mcp.opencaselaw.ch/entscheid/zh_obergericht_LC160013</w:t>
      </w:r>
    </w:p>
    <w:p>
      <w:r>
        <w:t>FR: ZH_OBERGERICHT LC160013 du 30 septembre 2016</w:t>
      </w:r>
    </w:p>
    <w:p>
      <w:r>
        <w:t>IT: ZH_OBERGERICHT LC160013 del 30 settembre 2016</w:t>
      </w:r>
    </w:p>
    <w:p>
      <w:pPr>
        <w:pStyle w:val="Heading2"/>
      </w:pPr>
      <w:r>
        <w:t>Erwägungen</w:t>
      </w:r>
    </w:p>
    <w:p>
      <w:r>
        <w:rPr>
          <w:b/>
        </w:rPr>
        <w:t>E. 1</w:t>
      </w:r>
    </w:p>
    <w:p>
      <w:r>
        <w:t>Die Parteien heirateten am tt. Februar 2005. Aus der Ehe gingen keine Kinder hervor (Urk. 2). Am 31. Oktober 2012 machte der Kläger bei der Vor- instanz die vorliegende Scheidungsklage anhängig (Urk. 1). Mit Urteil vom 14. Dezember 2015 wurde die Ehe der Parteien durch das Einzelgericht am Bezirks- gericht Hinwil geschieden und die von den Parteien am 8. Mai 2014 abgeschlos- sene Teilkonvention vorgemerkt bzw. genehmigt. Im Weiteren wurde der Kläger verpflichtet, der Beklagten ab Rechtskraft des Scheidungsurteils bis 31. 6. 2016 monatliche Unterhaltsbeiträge von Fr. 3'470.-- und hernach bis 31. 8. 2025 von Fr. 3'170.-- zu bezahlen (Urk. 100). Bezüglich des vorinstanzlichen Prozessver- laufs kann auf dessen Darstellung im angefochtenen Entscheid verwiesen werden (Urk. 100 S. 3 ff.).</w:t>
      </w:r>
    </w:p>
    <w:p>
      <w:r>
        <w:rPr>
          <w:b/>
        </w:rPr>
        <w:t>E. 2</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w:t>
      </w:r>
    </w:p>
    <w:p>
      <w:r>
        <w:t>- 8 - weder eine pauschale Verweisung auf die bei der Vorinstanz eingereichten Rechtsschriften noch eine neuerliche Darstellung der Sach- oder Rechtslage ent- halten darf, welche nicht darauf eingeht, was vor der Vorinstanz vorgebracht wor- den ist und von dieser erwogen worden ist (BGE 138 III 374 E. 4.3.1). Pauschale Verweisungen auf die vor der Vorinstanz eingebrachten Rechtsschriften sind na- 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auseinandersetzen. Das Gleiche gilt im Falle von Haupt- und Eventualbegründung. Auch hier muss sich der Berufungs- kläger mit beiden Begründungen auseinandersetzen (Hungerbühler/Bucher, DI- KE-Komm-ZPO, Art. 311 N 36 ff.). Zwar prüft die Berufungsinstanz nicht nur die geltend gemachten Rügen (Rügeprinzip). Der Berufungskläger hat sich aber mit der Begründung des erstinstanzlichen Entscheids auseinanderzusetzen; das Ge- richt muss den angefochtenen Entscheid nicht von sich aus auf Mängel untersu- chen, es sei denn, der Sachverhalt sei geradezu willkürlich festgestellt worden oder das Recht sei geradezu willkürlich angewandt worden (Reetz/Theiler, a.a.O., Art. 311 N 36). Aufgrund der umfassenden Überprüfungsbefugnis ist die Beru- fungsinstanz nicht an die mit den Rügen vorgebrachten Argumente oder an die Erwägungen der Vorinstanz gebunden, sie kann die Rügen auch mit abweichen- den Erwägungen gutheissen oder abweisen (vgl. Reetz/Theiler, a.a.O., Art. 310 N 6). Die Begründungsanforderungen gelten auch für die Berufungsantwort, wenn darin Erwägungen der Vorinstanz beanstandet werden, die sich für die im kanto- nalen Verfahren obsiegende Partei ungünstig auswirken können (BGer 4A_258/2015 vom 21. Oktober 2015, E. 2.4.2; Reetz/Theiler, a.a.O., Art. 312 N 11).</w:t>
      </w:r>
    </w:p>
    <w:p>
      <w:r>
        <w:rPr>
          <w:b/>
        </w:rPr>
        <w:t>E. 3</w:t>
      </w:r>
    </w:p>
    <w:p>
      <w:r>
        <w:t>Dispositivziffer Ziffer 6 des erstinstanzlichen Urteils wird bestätigt.</w:t>
      </w:r>
    </w:p>
    <w:p>
      <w:r>
        <w:rPr>
          <w:b/>
        </w:rPr>
        <w:t>E. 4</w:t>
      </w:r>
    </w:p>
    <w:p>
      <w:r>
        <w:t>Das erstinstanzliche Kostendispositiv (Dispositiv-Ziffer 7) wird bestätigt.</w:t>
      </w:r>
    </w:p>
    <w:p>
      <w:r>
        <w:rPr>
          <w:b/>
        </w:rPr>
        <w:t>E. 5</w:t>
      </w:r>
    </w:p>
    <w:p>
      <w:r>
        <w:t>Die Prozesskosten des erstinstanzlichen Verfahrens werden den Parteien je zur Hälfte (Fr. 13'637.50) auferlegt und mit dem vom Kläger geleisteten Kos- tenvorschuss verrechnet. Die Beklagte wird verpflichtet, dem Kläger den ge- leisteten Vorschuss im Umfang von Fr. 1'362.50 zu ersetzen.</w:t>
      </w:r>
    </w:p>
    <w:p>
      <w:r>
        <w:rPr>
          <w:b/>
        </w:rPr>
        <w:t>E. 6</w:t>
      </w:r>
    </w:p>
    <w:p>
      <w:r>
        <w:t>Die Parteientschädigungen für das erstinstanzliche Verfahren werden wett- geschlagen.</w:t>
      </w:r>
    </w:p>
    <w:p>
      <w:r>
        <w:rPr>
          <w:b/>
        </w:rPr>
        <w:t>E. 7</w:t>
      </w:r>
    </w:p>
    <w:p>
      <w:r>
        <w:t>Die zweitinstanzliche Entscheidgebühr wird festgesetzt auf Fr. 8'000.--.</w:t>
      </w:r>
    </w:p>
    <w:p>
      <w:r>
        <w:rPr>
          <w:b/>
        </w:rPr>
        <w:t>E. 8</w:t>
      </w:r>
    </w:p>
    <w:p>
      <w:r>
        <w:t>Die Kosten für das zweitinstanzliche Verfahren werden zu 3/4 dem Kläger und zu 1/4 der Beklagten auferlegt und mit dem vom Kläger geleisteten Vor- schuss verrechnet. Die Beklagte wird verpflichtet, dem Kläger den geleiste- ten Vorschuss im Umfang von Fr. 2'000.-- zu ersetzen.</w:t>
      </w:r>
    </w:p>
    <w:p>
      <w:r>
        <w:rPr>
          <w:b/>
        </w:rPr>
        <w:t>E. 9</w:t>
      </w:r>
    </w:p>
    <w:p>
      <w:r>
        <w:t>Der Kläger wird verpflichtet, der Beklagte für das zweitinstanzliche Verfahren eine Parteientschädigung von Fr. 2'700.-- zu bezahlen.</w:t>
      </w:r>
    </w:p>
    <w:p>
      <w:r>
        <w:rPr>
          <w:b/>
        </w:rPr>
        <w:t>E. 10</w:t>
      </w:r>
    </w:p>
    <w:p>
      <w:r>
        <w:t>Schriftliche Mitteilung an die Parteien sowie an die Vorinstanz, je gegen Empfangsschein. Die erstinstanzlichen Akten gehen nach unbenütztem Ablauf der Rechtsmit- telfrist an die Vorinstanz zurück.</w:t>
      </w:r>
    </w:p>
    <w:p>
      <w:r>
        <w:t>- 33 -</w:t>
      </w:r>
    </w:p>
    <w:p>
      <w:r>
        <w:rPr>
          <w:b/>
        </w:rPr>
        <w:t>E. 11</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336'000.--. Die Beschwerde an das Bundesgericht hat keine aufschiebende Wirkung. Hinsichtlich des Fristenlaufs gelten die Art. 44 ff. BGG. Zürich, 30. September 2016 Obergericht des Kantons Zürich I. Zivilkammer Die Vorsitzende: Die Gerichtsschreiberin: Dr. L. Hunziker Schnider lic. iur. R. Blesi Keller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