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LC160006 vom 18. Februar 2016</w:t>
      </w:r>
    </w:p>
    <w:p>
      <w:r>
        <w:t>ZH Obergericht, 2016-02-18, DE</w:t>
      </w:r>
    </w:p>
    <w:p>
      <w:r>
        <w:rPr>
          <w:b/>
        </w:rPr>
        <w:t xml:space="preserve">Quelle: </w:t>
      </w:r>
      <w:r>
        <w:t>https://mcp.opencaselaw.ch/entscheid/zh_obergericht_LC160006</w:t>
      </w:r>
    </w:p>
    <w:p>
      <w:r>
        <w:t>FR: ZH_OBERGERICHT LC160006 du 18 février 2016</w:t>
      </w:r>
    </w:p>
    <w:p>
      <w:r>
        <w:t>IT: ZH_OBERGERICHT LC160006 del 18 febbraio 2016</w:t>
      </w:r>
    </w:p>
    <w:p>
      <w:pPr>
        <w:pStyle w:val="Heading2"/>
      </w:pPr>
      <w:r>
        <w:t>Erwägungen</w:t>
      </w:r>
    </w:p>
    <w:p>
      <w:r>
        <w:rPr>
          <w:b/>
        </w:rPr>
        <w:t>E. 1</w:t>
      </w:r>
    </w:p>
    <w:p>
      <w:r>
        <w:t>a) Mit Urteil des Bezirksgerichts Affoltern vom 28. Januar 2009 (Vi- Urk. 3/1) war die am tt. Juli 1999 in der Türkei geschlossene Ehe der Parteien ge- schieden worden (Disp.-Ziff. 1). Die am tt.mm.2004 geborene Tochter der Partei- en war unter die elterliche Sorge der Beklagten gestellt (Disp.-Ziff. 2), das Be- suchsrecht des Klägers geregelt (Disp.-Ziff. 3) und die Unterhaltspflicht des Klä- gers für die Tochter auf Fr. 1'300.-- (zuzüglich Kinderzulagen, indexiert) festge- setzt worden (Disp.-Ziff. 4 und 5). b) Am 20. Dezember 2013 reichte der Kläger beim Bezirksgericht Affol- tern (Vorinstanz) eine Klage auf Herabsetzung der Kinderunterhaltsbeiträge auf Fr. 500.--, eventualiter auf angemessene Herabsetzung, ein (Vi-Urk. 1). Nach ei- ner Sistierung bis zur Erledigung des Scheidungsverfahrens zwischen dem Kläger</w:t>
      </w:r>
    </w:p>
    <w:p>
      <w:r>
        <w:t>- 3 - und seiner zweiten Ehefrau am Bezirksgericht Dietikon (Vi-Urk. 17 und 28; erle- digt mit Urteil vom 4. September 2014, Vi-Urk. 26) und der Erstattung der schriftli- chen Klagebegründung am 15. Mai 2015 (Vi-Urk. 42) wurde der Beklagten mit Verfügung vom 10. Juni 2015 Frist zur Klageantwort angesetzt (Vi-Urk. 44). Innert erstreckter Frist zur Klageantwort stellte die Beklagte am 14. September 2015 den Antrag, es sei auf die Abänderungsklage infolge fehlendem Rechtsschutzinteres- se und Verfahrensmissbrauch nicht einzutreten (Vi-Urk. 49 S. 7). Mit Verfügung vom 27. November 2015 wies die Vorinstanz diesen Antrag ab (Dispositiv ein- gangs wiedergegeben; Vi-Urk. 57 = Urk. 2). c) Hiergegen hat die Beklagte am 25. Januar 2016 fristgerecht Berufung erhoben und die eingangs wiedergegebenen Berufungsanträge gestellt (Urk. 1). d) Die vorinstanzlichen Akten wurden beigezogen. Da sich die Berufung sogleich als unbegründet erweist, kann auf die Einholung einer Berufungsantwort der Gegenpartei verzichtet werden (Art. 322 Abs. 1 ZPO).</w:t>
      </w:r>
    </w:p>
    <w:p>
      <w:r>
        <w:rPr>
          <w:b/>
        </w:rPr>
        <w:t>E. 2</w:t>
      </w:r>
    </w:p>
    <w:p>
      <w:r>
        <w:t>a) Die Vorinstanz erwog, die Beklagte habe eine abgeurteilte Sache (res iudicata) geltend gemacht. Sie habe vorgebracht, im Rahmen der Scheidung des Klägers und seiner zweiten Ehefrau sei für das aus jener Ehe entsprungene Kind nach Prüfung der wirtschaftlichen Leistungsfähigkeit des Klägers ein Unter- haltsbeitrag von Fr. 1'300.-- festgesetzt worden; nach der bei Kinderunterhalt gel- tenden Offizialmaxime liege eine Beurteilung der auch vorliegend sich stellenden Rechtsfrage und eine abgeurteilte Sache zum Zeitpunkt der Urteilsfällung 2014 und bis auf weiteres vor, denn eine Zweitbeurteilung über die gleiche Periode über die gleiche Frage der Leistungsfähigkeit des Klägers gehe nicht an (Urk. 2 S. 2 f.). Die Vorinstanz hielt dem entgegen, das Vorliegen einer abgeurteilten Sa- che müsse bereits aufgrund der fehlenden Identität der Parteien verneint werden. Es werde sich zwar die Frage stellen, wie sich die Feststellungen im Scheidungs- verfahren vor Bezirksgericht Dietikon (in dem von einem Einkommen des Klägers von Fr. 6'300.-- ausgegangen wurde) auf das vorliegende Verfahren auswirken würden; dies werde jedoch bei der Prüfung der materiellen Voraussetzungen der Abänderung zu untersuchen sein (Urk. 2 S. 3).</w:t>
      </w:r>
    </w:p>
    <w:p>
      <w:r>
        <w:t>- 4 - Die Vorinstanz erwog sodann, die Beklagte habe einen Verfahrensmiss- brauch geltend gemacht. Sie habe vorgebracht, der Kläger würde sie stark be- drängen, erniedrigen und bedrohen und missbrauche das Gerichtsverfahren, um ihre persönlichen Lebensverhältnisse auszuspähen. Sie habe auch einen ver- suchten Prozessbetrug und die Verletzung von Unterhaltspflichten geltend ge- macht (Urk. 2 S. 3 f.). Die Vorinstanz hielt dem entgegen, das Gesetz räume einer geschiedenen Person das Recht ein, ein rechtskräftiges Scheidungsurteil unter bestimmten Voraussetzungen abzuändern; dass der Kläger davon Gebrauch ma- che, sei ihm nicht als Missbrauch des gerichtlichen Verfahrens anzulasten. Für die behaupteten Vorkommnisse wie Stalking, Bedrohung und Vernachlässigung von Unterhaltspflichten sei die Beklagte auf die entsprechenden zivil- und straf- rechtlichen Abwehrinstrumente hinzuweisen. Ein Nichteintreten auf die Abände- rungsklage gestützt auf diese Vorbringen falle jedoch ausser Betracht; diese wür- den bei der Prüfung der materiellen Begründetheit der Klage zu würdigen sein (Urk. 2 S. 4). b) Mit der Beschwerde können unrichtige Rechtsanwendung und offen- sichtlich unrichtige Feststellung des Sachverhalts geltend gemacht werden (Art. 320 ZPO). Dabei gilt das Rügeprinzip, d.h. in der Beschwerde muss konkret und im Einzelnen dargelegt werden, was genau am angefochtenen Entscheid unrich- tig sein soll (Sutter-Somm/Hasenböhler/Leuenberger [Hrsg.], Kommentar zur Schweizerischen Zivilprozessordnung, 2.A. 2013, N 15 zu Art. 321 ZPO; Sterchi, Berner Kommentar, N 17 ff. zu Art. 321 ZPO); was nicht in dieser Weise bean- standet (gerügt) wird, braucht von der Beschwerdeinstanz nicht überprüft zu wer- den und hat insofern grundsätzlich Bestand. c) Die Beklagte macht in ihrer Beschwerde zusammengefasst geltend, sie gehe nicht davon aus, dass eine abgeurteilte Sache vorliege, weshalb sie einen Rechtsmissbrauch geltend mache. Es liege eine sachlich abgeschlossene richter- liche Beurteilung eines identischen Lebenssachverhalts, nämlich der wirtschaftli- chen Leistungsfähigkeit des Klägers und des Bedarfs seiner beiden unterhaltsbe- rechtigten Kinder, vor. Nach allgemeiner Rechtsvorstellung gelte in dieser Kons- tellation der Grundsatz des "ne bis in idem" und solle also der gleiche Sachverhalt</w:t>
      </w:r>
    </w:p>
    <w:p>
      <w:r>
        <w:t>- 5 - nicht zweimal von einem Gericht beurteilt werden. Die Unterhaltspflicht des Klä- gers habe vom Bezirksgericht Dietikon nur unter Beachtung der Unterhaltspflicht gegenüber der Tochter aus erster Ehe beurteilt werden können und beide Kinder seien bei der Bestimmung der Unterhaltsansprüche gleich zu behandeln. Wenn der Kläger eine Veränderung seiner Verhältnisse seit dem Urteil des Bezirksge- richts Dietikon geltend machen wollte, müsste er beide Kinder einklagen; würde eine Herabsetzung nur gegen die Tochter der Parteien zugelassen, würde dies zu einer Ungleichbehandlung der beiden Kinder aus erster und zweiter Ehe führen. Die vom Kläger auch im vorliegenden Verfahren aufgestellten Behauptungen sei- en vom Bezirksgericht Dietikon als nicht massgeblich oder unzutreffend qualifi- ziert worden; sachlogisch müssten bei gleichen Behauptungen, gleichen Beweis- mitteln und gleichen Rechtsgrundlagen inhaltlich gleichlautende Urteile gefällt werden, womit der Kläger auch im vorliegenden Verfahren nicht mit einem ande- ren Kinderunterhaltsbeitrag als den auch vom Bezirksgericht Dietikon festgesetz- ten Fr. 1'300.-- rechnen könne. Könne der Kläger nicht erwarten, im vorliegenden Verfahren ein anderes Urteil zu erhalten, fehle ihm ein Rechtsschutzinteresse; ziele er darauf, seine Tochter aus erster Ehe schlechter zu stellen als das Kind aus zweiter Ehe, so verdiene dies keinen Rechtsschutz. Da der Kläger die Fest- stellung seiner Leistungsfähigkeit, für seine beiden Kinder je Fr. 1'300.-- zahlen zu können, anerkannt habe, liege auch ein selbstwidersprüchliches Verhalten vor, das gleichfalls keinen Rechtsschutz verdiene. Dass die missbräuchliche Ausfor- schung der Lebensverhältnisse der Beklagten auch strafrechtlich verfolgt werden könne, ändere nichts daran, dass Zivilverfahren auch hierzu verwendet werden könnten (Urk. 1 S. 3 ff.). d) Die Beklagte setzt sich damit in ihrer Beschwerdeschrift mit den vor- instanzlichen Erwägungen nicht rechtsgenügend auseinander. Sie begnügt sich mit einer – nochmaligen – Darlegung ihrer Rechtsauffassung, nimmt jedoch kei- nen Bezug auf die vorinstanzlichen Erwägungen und legt insbesondere nicht kon- kret dar, welche dieser Erwägungen unrichtig sein sollten. Damit erweist sich die Beschwerde schon aus diesem Grund als unbegründet.</w:t>
      </w:r>
    </w:p>
    <w:p>
      <w:r>
        <w:t>- 6 - Die Vorbringen der Beklagten sind sodann auch nicht widerspruchsfrei; ei- nerseits anerkennt sie, dass keine abgeurteilte Sache im formalen Sinn vorliege, sagt dann aber gleichwohl, nach dem Grundsatz "ne bis in idem" solle der bereits vom Bezirksgericht Dietikon beurteilte Sachverhalt nicht ein zweites Mal im vorlie- genden Verfahren beurteilt werden (Urk. 1 S. 4). Sodann bildet das Scheidungs- urteil des Bezirksgerichts Dietikon vom 4. September 2014 für das vorliegende Verfahren wegen fehlender Identität der Parteien nicht nur formell, sondern auch materiell keine abgeurteilte Sache (Art. 59 Abs. 2 lit. e ZPO), was schon die Vor- instanz korrekt – und ungerügt – dargelegt hat (Urk. 2 Erw. 2.2). Weiter bedeutet der Grundsatz der Gleichbehandlung der Kinder des Klägers aus seinen beiden Ehen nicht zwingend, dass für beide Kinder in verschiedenen Verhältnissen no- minell gleich hohe Unterhaltsbeiträge festgesetzt werden müssten; es ist immer der konkrete Einzelfall zu beurteilen. Insbesondere sind bei der Unterhaltspflicht für Kinder die finanziellen Verhältnisse beider Elternteile zu berücksichtigen (Art. 285 Abs. 1 ZGB) – als Teil der Beurteilung des Einzelfalls –, womit es von vorne- herein nicht rechtsmissbräuchlich ist, wenn der Kläger auch die finanziellen Ver- hältnisse der Beklagten einbezogen haben will. Wie sich schliesslich die Aussich- ten für eine Klagegutheissung präsentieren, falls die von der Beklagten vorgetra- genen Umstände zutreffen, ist keine Frage der Prozessvoraussetzungen, sondern der materiellen Begründetheit der Klage (auch dies hat bereits die Vorinstanz zu- treffend dargelegt; Urk. 2 Erw. 2.2 und 2.4, je a.E.). Dass die Vorinstanz den An- trag der Beklagten auf Nichteintreten auf die Abänderungsklage abgewiesen hat, erweist sich damit als korrekt. e) Nach dem Gesagten ist die Berufung der Beklagten abzuweisen und die angefochtene Verfügung zu bestätigen (Art. 318 Abs. 1 lit. a ZPO).</w:t>
      </w:r>
    </w:p>
    <w:p>
      <w:r>
        <w:rPr>
          <w:b/>
        </w:rPr>
        <w:t>E. 3</w:t>
      </w:r>
    </w:p>
    <w:p>
      <w:r>
        <w:t>Die Gerichtskosten für das Berufungsverfahren werden der Beklagten aufer- legt.</w:t>
      </w:r>
    </w:p>
    <w:p>
      <w:r>
        <w:rPr>
          <w:b/>
        </w:rPr>
        <w:t>E. 4</w:t>
      </w:r>
    </w:p>
    <w:p>
      <w:r>
        <w:t>Für das Berufungsverfahren werden keine Parteientschädigungen zuge- sprochen.</w:t>
      </w:r>
    </w:p>
    <w:p>
      <w:r>
        <w:rPr>
          <w:b/>
        </w:rPr>
        <w:t>E. 5</w:t>
      </w:r>
    </w:p>
    <w:p>
      <w:r>
        <w:t>Schriftliche Mitteilung an die Parteien, an den Kläger unter Beilage des Dop- pels von act. 1, sowie an die Vorinstanz, je gegen Empfangsschein. Die vorinstanzlichen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- 8 - Art. 113 ff. (subsidiäre Verfassungsbeschwerde) in Verbindung mit Art. 42 des Bundesgesetzes über das Bundesgericht (BGG). Dies ist ein Zwischenentscheid im Sinne von Art. 93 BGG. Es handelt sich um eine ver- mögensrechtliche Angelegenheit. Der Streitwert beträgt mehr als Fr. 30'000.--. Die Beschwerde an das Bundesgericht hat keine aufschiebende Wirkung. Hinsichtlich des Fristenlaufs gelten die Art. 44 ff. BGG. Zürich, 18. Februar 2016 Obergericht des Kantons Zürich I. Zivilkammer Der Gerichtsschreiber: lic. iur. F. Rieke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