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LC150027 vom 1. Dezember 2016</w:t>
      </w:r>
    </w:p>
    <w:p>
      <w:r>
        <w:t>ZH Obergericht, 2016-12-01, DE</w:t>
      </w:r>
    </w:p>
    <w:p>
      <w:r>
        <w:rPr>
          <w:b/>
        </w:rPr>
        <w:t xml:space="preserve">Quelle: </w:t>
      </w:r>
      <w:r>
        <w:t>https://mcp.opencaselaw.ch/entscheid/zh_obergericht_LC150027</w:t>
      </w:r>
    </w:p>
    <w:p>
      <w:r>
        <w:t>FR: ZH_OBERGERICHT LC150027 du 1 décembre 2016</w:t>
      </w:r>
    </w:p>
    <w:p>
      <w:r>
        <w:t>IT: ZH_OBERGERICHT LC150027 del 1 dicembre 2016</w:t>
      </w:r>
    </w:p>
    <w:p>
      <w:pPr>
        <w:pStyle w:val="Heading2"/>
      </w:pPr>
      <w:r>
        <w:t>Erwägungen</w:t>
      </w:r>
    </w:p>
    <w:p>
      <w:r>
        <w:rPr>
          <w:b/>
        </w:rPr>
        <w:t>E. 1</w:t>
      </w:r>
    </w:p>
    <w:p>
      <w:r>
        <w:t>August 2016 bis 31. Juli 2022 den monatlichen Betrag von Fr. 362.--. Sodann verlangt er in Abänderung von Dispositivziffer 12 (und in Aufhebung von Disposi-</w:t>
      </w:r>
    </w:p>
    <w:p>
      <w:r>
        <w:t>- 16 - tivziffern 13 und 14) des vorinstanzlichen Urteils eine güterrechtliche Ausgleichs- zahlung zugunsten der geschiedenen Ehefrau in der Höhe von Fr. 27'982.50 (anstatt von Fr. 105'553.--). Im Zusammenhang mit dem auch für das Berufungs- verfahren gestellten Gesuch um Gewährung unentgeltlicher Rechtspflege (act. 303 S. 3), ergaben sich Weiterungen (act. 310, act. 316, act. 319, act. 323, act. 331). Es wurde dem Beklagten die unentgeltliche Rechtspflege unter Hin- weis auf den Rückkaufswert der Fondsanteile der Vorsorgepolice 3b bei der E._____ Lebensversicherung zunächst verweigert (act. 332). Nachdem der Be- klagte mit Eingabe vom 16. Februar 2016 (act. 360) über die Verwendung des Rückkaufswertes der E._____ Versicherungspolice im Betrag von rund Fr. 53'000.-- Aufschluss erteilte (Bezahlung von Alimentenschulden, von Pro- zesskostenvorschuss und von Steuerschulden, act. 362 S. 2 unten), blieb es bei der mit Beschluss vom 13. Januar 2016 dem Beklagten gewährten unentgeltli- chen Rechtspflege für das Berufungsverfahren (act. 354 S. 5, Dispositivziffern 1 und 2; act. 362). Es wurde mit Beschluss der Kammer vom 13. Januar 2016 zudem der Klägerin Frist zur Erstattung der Berufungsantwort angesetzt (act. 354 S. 5, Dispositivzif- fer 3). Die Berufungsantwort (act. 358) ging samt Beilagen (act. 359/1-4) recht- zeitig am 16. Februar 2016 bei der Kammer ein (act. 356/2). In der Berufungsant- wort wird Anschlussberufung erhoben (act. 358 S. 5, S. 22, S. 26 f., S. 28 f.). Mit der Anschlussberufung beantragt die Klägerin die Abänderung der Dispositivzif- fern 13 und 14 des Urteils des Bezirksgerichts Bülach vom 28. April 2015, näm- lich die Überweisung des gesamten Betrages des ZKB-Vorsorgekontos der</w:t>
      </w:r>
    </w:p>
    <w:p>
      <w:r>
        <w:rPr>
          <w:b/>
        </w:rPr>
        <w:t>E. 1.1</w:t>
      </w:r>
    </w:p>
    <w:p>
      <w:r>
        <w:t>Keine Partei dringt mit ihren Anträgen vollständig durch. Ermessensweise ist festzulegen, dass ein Drittel des erstinstanzlichen Verfahrens auf diejenigen Bereiche des Verfahrens fällt, die mit einer Teilvereinbarung (Pensionskasse/ Güterrecht) geregelt wurden. Die dafür entstandenen Kosten sind den Parteien vereinbarungsgemäss je zur Hälfte aufzuerlegen, und es sind keine Entschädi- gungen zuzusprechen (vgl. auch Art. 106 Abs. 2 i. V. m. Art. 109 ZPO). Die Par- teien tragen demnach die Kosten für diesen Teil des Verfahrens je zu zwei Zwölf- tel (1/3 x ½ = 1/6 bzw. 2/12).</w:t>
      </w:r>
    </w:p>
    <w:p>
      <w:r>
        <w:t>- 31 - Damit entfallen auf den strittigen Teil der Aufwendungen (Unterhaltsbeiträge, Verfahren um Abänderung der vorsorglichen Massnahmen, Beschluss vom 28. Oktober 2015, act. 337) zwei Drittel des Gesamtaufwandes. Der Beklagte beantragt im Berufungsverfahren eine Verpflichtung zur Leistung von nacheheli- chem Unterhalt im Betrag von Fr. 24'254.-- (gerechnet ab Januar 2017 bis Juli 2022, 67 Monate x Fr. 362.--). Die Klägerin beantragt im Gegenzug mit ihrer Be- rufung eine Verpflichtung des Beklagten zur Leistung von nachehelichem Unter- halt im Betrag von insgesamt Fr. 107'200.-- (gerechnet ab Januar 2017 bis Juli 2022, 67 Monate x Fr. 1'600.--). Die Verpflichtung des Beklagten zur Leistung von nachehelichem Unterhalt ist mit diesem Entscheid auf Fr. 90'718.-- festzu- setzen, womit der Beklagte im Umfang von gerundet Fr. 66'464.-- im Vergleich zu seinen Anträgen unterliegt, während die Klägerin im Vergleich zu ihren Anträ- gen im Umfang von gerundet Fr. 16'482.-- unterliegt. Diese Werte stehen einan- der in etwa im Verhältnis von 4 zu 1 gegenüber. Es ist daher von einem diesbe- züglichen Unterliegen des Beklagten von 3/4 und einem der Klägerin von 1/4 auszugehen. Der Beklagte trägt demnach die Kosten für diesen Teil des (stritti- gen) Verfahrens zu sechs Zwölftel (2/3 x 3/4) und die Klägerin zu zwei Zwölftel (2/3 x 1/4 = 2/12). Insgesamt sind die Kosten des Berufungsverfahrens dem Beklagten zu zwei Drit- teln (6/12 und 2/12 = 8/12 = 2/3) und der Klägerin zu einem Drittel (2/12+ 2/12 = 4/12) aufzuerlegen. Der Beklagte ist sodann zu verpflichten, der Klägerin eine auf einen Drittel reduzierte Prozessentschädigung zu bezahlen.</w:t>
      </w:r>
    </w:p>
    <w:p>
      <w:r>
        <w:rPr>
          <w:b/>
        </w:rPr>
        <w:t>E. 1.2</w:t>
      </w:r>
    </w:p>
    <w:p>
      <w:r>
        <w:t>Im Berufungsverfahren liegen ausschliesslich noch sog. vermögenwerte In- teressen im Streit. Das für die Bemessung der Gerichtsgebühr sowie der Ent- schädigung der anwaltlich vertretenen Klägerin massgebliche streitwerte Interes- se liegt einerseits in der Differenz der von den Parteien beantragten nacheheli- chen Unterhaltsleistungen des Beklagten und beläuft sich daher auf rund Fr. 82'950.-- und andererseits in der Differenz der von den Parteien beantragten güterrechtlichen Ausgleichszahlung von rund Fr. 77'570.--. An der heutigen Auf- teilung und Zuordnung der während der Ehe erworbenen Pensionskassenleis- tungen des Beklagten sind beide Parteien interessiert (vgl. act. 368/321 S. 8).</w:t>
      </w:r>
    </w:p>
    <w:p>
      <w:r>
        <w:t>- 32 - Davon ausgehend ist gestützt auf § 12 Abs. 1-2 i.V.m. § 4 Abs. 1 und Abs. 3 und § 10 Abs. 1 GebV OG die Entscheidgebühr für das Berufungsverfahren auf Fr. 8'000.- festzusetzen, welche zu zwei Drittel dem Beklagten und zu einem Drit- tel der Klägerin aufzuerlegen sind.</w:t>
      </w:r>
    </w:p>
    <w:p>
      <w:r>
        <w:rPr>
          <w:b/>
        </w:rPr>
        <w:t>E. 1.3</w:t>
      </w:r>
    </w:p>
    <w:p>
      <w:r>
        <w:t>Analog ist die Grundgebühr für die Prozessentschädigung festzusetzen und danach auf einen Drittel zu reduzieren. Der Streitwert, die Verantwortung, die Schwierigkeit des Falls und der notwendige Zeitaufwand bilden die Grundlage für die Festsetzung der Entschädigung der unentgeltlichen Rechtsvertreterin (§ 2 Abs. 2 AnwGebVO). Das massgebliche Streitinteresse in der Berufungsinstanz betrug rund Fr. 160'500.--. Damit beträgt die volle Anwaltsgebühr gemäss § 4 AnwGebVO Fr. 14'500.--. Es bestehen indes Reduktionsgründe (§§ 4 Abs. 3, 11 Abs. 4 sowie 13 Abs. 2 AnwGebVO) wie auch Erhöhungsgründe (§ 11 Abs. 2 AnwGebVO), so dass die konkrete Höhe der Entschädigung innerhalb einer the- oretisch recht grossen Bandbreite zwischen rund Fr. 7'250.-- (Hälfte der Grund- gebühr gestützt auf § 4 Abs. 3 AnwGebVO, zwei Drittel Einschlag auf die Grund- gebühr gestützt auf § 13 Abs. 2 AnwGebVO und minim gestützt auf § 11 Abs. 4 zuzüglich 50 % Zuschläge [Berufungsantwort, Anschlussberufung, Teilnahme an Verhandlung, diverse Stellungnahmen] auf die nach den §§ 4 und 13 reduzierte Grundgebühr) bis rund Fr. 19'330.-- (aufgrund der Zuschläge doppelte [um einen Drittel nach § 13 Abs. 2 AnwGebVO] reduzierte Grundgebühr) festzusetzen ist. Festzuhalten ist, dass der Prozess seit Jahren um die gleichen Themen wie die dem Beklagten anzurechnenden Einkommens- und Bedarfszahlen sowie der ihm anzurechnenden Errungenschaft kreist, was zu Synergieeffekten für die Erstat- tung der Rechtsschriften vor allem in der Berufungsinstanz führte (vgl. bspw. auch act. 336/312, act. 336/317-318). Es ist von einer vollen Prozessentschädi- gung von Fr. 9'000.-- (zuzüglich MwSt) auszugehen. Damit ist der Beklagte zu verpflichten, der Klägerin für das Berufungsverfahren eine auf ein Drittel reduzier- te Prozessentschädigung von Fr. 3'000.-- (zuzüglich MwSt) zu bezahlen. 2. Die den Parteien aufzuerlegenden Gerichtskosten werden aufgrund der gewährten unentgeltlichen Rechtspflege (gemäss Beschluss vom 25. September 2015, Prot. S. 2 und act. 368/318 im Prozess LC150028 [Klägerin] und gemäss</w:t>
      </w:r>
    </w:p>
    <w:p>
      <w:r>
        <w:t>- 33 - Beschluss vom 13. Januar 2016, Prot. S. 10 [Beklagter]) einstweilen auf die Ge- richtskasse genommen. Die Klägerin hat ihre güterrechtlichen Ansprüche gegen den Beklagten bis zur Höhe der auf sie entfallenden Gerichts- und Vertretungs- kosten abgetreten (act. 368/318). Über die heute der Klägerin unter dem Titel Güterrecht zugesprochenen Vermögenswerte kann nicht verfügt werden, weil die Vermögenswerte gebundene Vorsorgegelder der Säule 3a sind. Heute und bis auf Weiteres nützt der Gerichtskasse die Abtretung der Güterrechtsforderung gegenüber dem Beklagten nichts. Die Klägerin wird aber darauf aufmerksam gemacht, dass die Gerichtskasse auch noch nach Jahren auf sie zukommen wird, um die Kosten des Verfahrens einzufordern. Auch die Übertragung der Gelder aus der Vorsorgepolice 3a der F._____ Versicherung auf das Postkonto, über welches dereinst C._____ soll verfügen dürfen, steht dem Anspruch der Ge- richtskasse auf Deckung der Prozesskosten nicht entgegen. 3. Die Einzelrichterin hat den nachehelichen Unterhalt der Klägerin im ange- fochtenen Urteil um rund Fr. 34'438.-- niedriger bemessen (nämlich auf insge- samt Fr. 56'280.--, entsprechend knapp 2/3) als er im Ergebnis des Berufungs- verfahrens festzusetzen ist. Vor der Einzelrichterin waren aber nicht nur soge- nannte vermögenswerte Interessen strittig, sondern bis zum Abschluss einer Teilvereinbarung am 2. September 2014 auch die Kinderbelange (elterliche Sor- ge, Obhut und persönlicher Verkehr). Es galt sodann auch den Kinderunterhalt zu bestimmen (dieser wurde gerichtlich auf monatlich Fr. 1'100.- festgesetzt, was in der Folge unangefochten blieb). Im Grundsatz gilt, dass die Kosten für die Re- gelung von Kinderbelangen den Parteien je zur Hälfte auferlegt werden. Die Ein- zelrichterin hatte fünf Massnahmebegehren zu behandeln (ohne die Begehren auf Anweisung an die Arbeitgeberin), die alle mit Ausnahme des letzten Mass- nahmebegehrens des Beklagten vom 3. September 2014 (act. 256) mit einer Vereinbarung erledigt werden konnten. Bei Vereinbarungen werden die Kosten praxisgemäss je zur Hälfte übernommen. Die Punkte der Pensionskasse und des Güterrechts wurden mit Vereinbarung unter hälftiger Kostentragung erledigt. Von daher erweisen sich die quantitativen Abweichungen bei der Festsetzung des nachehelichen Unterhalts zum Ausgang des Berufungsverfahrens letztlich als nicht ins Gewicht fallend, weshalb es sich rechtfertigt, die vorinstanzliche Kosten-</w:t>
      </w:r>
    </w:p>
    <w:p>
      <w:r>
        <w:t>- 34 - und Entschädigungsregelung unverändert zu belassen und zu bestätigen (Dis- positivziffern 18 und 19). Es wird erkannt: 1. Der Beklagte wird verpflichtet, der Klägerin wie folgt monatliche nacheheli- che Unterhaltsbeiträge im Sinne von Art. 125 ZGB zu bezahlen, zahlbar je- weils im Voraus auf den Ersten eines jeden Monats: − Fr. 1'354.– ab Rechtskraft des vorliegenden Urteils bis und mit Juli 2022. 2. Den Unterhaltsbeiträgen gemäss Ziffer 1 hiervor wie auch den Unterhalts- beiträgen für C._____ in der Höhe von monatlich Fr. 1'100.-- zuzüglich Kin- derzulagen gemäss Beschluss des Obergerichts, II. ZK, vom 10. März 2016, Dispositivziffer 7, S. 9, liegen folgende finanzielle Verhältnisse der Parteien zugrunde: Einkommen Klägerin: Fr. 2'000.-- Einkommen Beklagter: Fr. 6'100.-- zuzüglich Kinderzulagen Bedarf Klägerin mit C._____: Fr. 4'366.– Bedarf Beklagter Fr. 3'602.-- 3. Die Unterhaltsbeiträge gemäss Ziffer 1 hiervor und die Kinderunterhaltsbei- träge für C._____ gemäss Beschluss des Obergerichts, II. ZK, vom</w:t>
      </w:r>
    </w:p>
    <w:p>
      <w:r>
        <w:rPr>
          <w:b/>
        </w:rPr>
        <w:t>E. 3</w:t>
      </w:r>
    </w:p>
    <w:p>
      <w:r>
        <w:t>Güterrecht In güterrechtlicher Hinsicht treffen die Parteien folgende Regelung:</w:t>
      </w:r>
    </w:p>
    <w:p>
      <w:r>
        <w:rPr>
          <w:b/>
        </w:rPr>
        <w:t>E. 3.1</w:t>
      </w:r>
    </w:p>
    <w:p>
      <w:r>
        <w:t>A._____ verpflichtet sich, B._____ aus seinem Vorsorgekonto der 3. Säule bei der Zürcher Kantonalbank …, … [Adresse] den Betrag von CHF 44'000.-- auf ein noch zu bezeichnendes Vorsorgekonto der 3. Säule (lautend auf B._____, geb. tt. Juli 1978, whft. … [Adresse], AHV-Nr. …) bei der Zürcher Kantonalbank zu übertragen. Die Parteien ersuchen das Gericht gemeinsam, die Zürcher Kantonalbank, Vor- sorgestiftung … entsprechend anzuweisen, die Übertragung vorzunehmen.</w:t>
      </w:r>
    </w:p>
    <w:p>
      <w:r>
        <w:rPr>
          <w:b/>
        </w:rPr>
        <w:t>E. 3.2</w:t>
      </w:r>
    </w:p>
    <w:p>
      <w:r>
        <w:t>Die Vereinbarung ist hinsichtlich des Vorsorgeausgleichs in Anwendung von Art. 122 Abs. 1 ZGB i.V.m. Art. 280 ZPO zu genehmigen und in das Urteils- dispositiv aufzunehmen (Art. 279 Abs. 1 und Abs. 2 ZPO). Entsprechend den Schreiben der Vorsorgeeinrichtung des Beklagten, der D._____ vom 31. August 2016 und vom 2. September 2016 ist von einem Sparkapital per 16. Februar 2016 (Datum der Rechtskraft des Scheidungsurteils) von insgesamt Fr. 196'729.70 und einer vorehelichen Austrittsleistung, aufgezinst per 16. Feb- ruar 2016, von Fr. 89'790.65 auszugehen (act. 378, act. 381). Die während der Ehe erworbene Austrittsleistung des Beklagten beträgt damit Fr. 106'939.05. Die D._____ ist daher, wie in der Vereinbarung vorgesehen, anzuweisen, die Hälfte</w:t>
      </w:r>
    </w:p>
    <w:p>
      <w:r>
        <w:t>- 30 - dieses Betrages, nämlich Fr. 53'469.55 auf das Konto der Klägerin bei der Frei- zügigkeitsstiftung Baloise Bank SoBa zu überweisen.</w:t>
      </w:r>
    </w:p>
    <w:p>
      <w:r>
        <w:rPr>
          <w:b/>
        </w:rPr>
        <w:t>E. 3.3</w:t>
      </w:r>
    </w:p>
    <w:p>
      <w:r>
        <w:t>Die Vereinbarung der Parteien über die Scheidungsnebenfolgen des Güter- rechts ist ausgehend von den Parteianträgen klar, vollständig und nicht offen- sichtlich unangemessen, weshalb sie auch hinsichtlich dieses Punktes geneh- migt werden kann und so Bestandteil des Urteils wird (Art. 279 Abs. 1 und 2 ZPO). Der Beklagte beantragt mit der Berufung die Herabsetzung der güterrecht- lichen Ausgleichszahlung an die Klägerin von Fr. 105'553.-- auf Fr. 27'982.50. Der Beklagte legt der Berechnung für die güterrechtliche Ausgleichszahlung eine eigene Errungenschaft von Fr. 138'477.-- zugrunde (act. 303 S. 11; vor Abzug Ersatzforderung Eigengut). Die Klägerin beantragt Bestätigung des vorinstanzli- chen Entscheides. Die Vereinbarung wird insbesondere auch vom Willen der Parteien getragen, dass die beim Beklagten noch vorhandenen Vermögenswerte zur Abgeltung der güterrechtlichen Ansprüche der Klägerin herangezogen wer- den sollen. Die Übertragung des Betrages von Fr. 18'132.-- der gebundenen Säule 3a Versicherungspolice Nr. … des Beklagten bei der F._____ AG auf das bezeichnete Konto der Klägerin kann erst deshalb im Jahre 2031 erfolgen, weil vor Ablauf des Versicherungsvertrages im 31. März 2031 eine Überweisung aus versicherungstechnischen Gründen nicht erfolgen bzw. angewiesen werden kann. III.</w:t>
      </w:r>
    </w:p>
    <w:p>
      <w:r>
        <w:rPr>
          <w:b/>
        </w:rPr>
        <w:t>E. 3.4</w:t>
      </w:r>
    </w:p>
    <w:p>
      <w:r>
        <w:t>Mit Beschlüssen vom 10. März 2016 vereinigte die Kammer die zwei Beru- fungsverfahren unter der Nummer des vorliegenden Prozesses und schrieb das Verfahren mit der Nummer LC150028 als erledigt ab. Sie nahm zudem Vormerk davon, dass das Urteil vom 28. April 2015 in den unangefochten gebliebenen Punkten, nämlich den Dispositivziffern 1-7 und 15-18 am 16. Februar 2016 in Rechtskraft erwachsen war (act. 362 S. 6 ff.). Sodann wurde die Klägerin, die am 15. Februar 2016 Anschlussberufung erhoben hatte (act. 358) und auch für die- ses Verfahren die unentgeltliche Rechtspflege beansprucht, aufgefordert, über die Verwendung des ihr im Februar 2016 vom Beklagten überwiesenen Geldbe-</w:t>
      </w:r>
    </w:p>
    <w:p>
      <w:r>
        <w:t>- 18 - trages von Fr. 35'824.-- (gerundet) Aufschluss zu erteilen (act. 362 S. 6, Disposi- tivziffer 3). Nachdem die Klägerin Aufschluss erteilte über die Verwendung des ihr überwiesenen Betrages von Fr. 35'824.-- bzw. Fr. 28'733.-- (act. 369, act. 370/1-5, act. 371, act. 372/1-5 ), wurde festgehalten, dass die ihr gewährte unentgeltliche Rechtspflege auch das Anschlussberufungsverfahren deckt, und es wurde dem Beklagten Frist zur Beantwortung der Anschlussberufung ange- setzt (act. 374, S. 2 Dispositivziffer 1). Die Beantwortung der Anschlussberufung ging am 17. Mai 2016 bei der Kammer ein (act. 376). In der Folge holte das Ge- richte eine aktuelle Bestätigung der Pensionskasse des Beklagten über die wäh- rend der Ehe erworbene Austrittsleistung samt einer Durchführbarkeitserklärung ein (act. 377 bis act. 381). Die Stellungnahmen der Parteien dazu gingen im Sep- tember 2016 ein (act. 382 bis act. 385). Am 17. November 2016 fand eine Ver- gleichsverhandlung am Gericht statt, anlässlich welcher die Parteien sich in den Punkten der zu teilenden Austrittsleistung (Pensionskasse) und des Güterrechts einigten (act. 393, Prot. S. 19 f.). Das Verfahren ist spruchreif. Der Klägerin ist mit diesem Entscheid noch ein Doppel bzw. eine Kopie der Eingabe vom 17. Mai 2016 (act. 376) zuzustellen. II. 1. Die zwei Berufungen drehen sich in erster Linie um den nachehelichen Un- terhalt i.S. des Art. 125 ZGB, geregelt im vorinstanzlichen Urteil vom 28. April 2015 (act. 306) in der Dispositiv-Ziffer 8, sowie um die Festsetzung des erweiter- ten Existenzminimums der Parteien (Dispositiv-Ziffer 9 des Urteils vom 28. April 2015). Bevor im Einzelnen auf die strittigen Fragen eingegangen wird, sind fol- gende Vorbemerkungen anzubringen.</w:t>
      </w:r>
    </w:p>
    <w:p>
      <w:r>
        <w:rPr>
          <w:b/>
        </w:rPr>
        <w:t>E. 4</w:t>
      </w:r>
    </w:p>
    <w:p>
      <w:r>
        <w:t>Saldoklausel Mit Vollzug dieser Vereinbarung sind die Parteien in güterrechtlicher Hinsicht voll- ständig auseinandergesetzt, mit Ausnahme allenfalls ausstehender Unterhaltsbei- träge aus dem Verfahren betreffend Erlass vorsorglicher Massnahmen (LY150029; LC150027/Z05).</w:t>
      </w:r>
    </w:p>
    <w:p>
      <w:r>
        <w:rPr>
          <w:b/>
        </w:rPr>
        <w:t>E. 5</w:t>
      </w:r>
    </w:p>
    <w:p>
      <w:r>
        <w:t>Kosten- und Entschädigungsfolgen Die Parteien übernehmen die Gerichtskosten für diese Vereinbarung je zur Hälfte und verzichten gegenseitig auf eine Parteientschädigung."</w:t>
      </w:r>
    </w:p>
    <w:p>
      <w:r>
        <w:rPr>
          <w:b/>
        </w:rPr>
        <w:t>E. 10</w:t>
      </w:r>
    </w:p>
    <w:p>
      <w:r>
        <w:t>März 2016, basieren auf dem Landesindex der Konsumentenpreise des Bundesamtes für Statistik, Stand per Ende September 2016 (100.2 Punkte; Basis Dezember 2015 = 100 Punkte). Sie sind jeweils jährlich auf den 1. Januar dem Indexstand vom vorangegangenen 30. November proportio- nal anzupassen, erstmals per 1. Januar 2018. Weist der Beklagte nach, dass sich sein Einkommen nicht im Umfange der Teuerung erhöht hat, so</w:t>
      </w:r>
    </w:p>
    <w:p>
      <w:r>
        <w:t>- 35 - werden die Unterhaltsbeiträge nur proportional zur tatsächlichen Einkom- menssteigerung angepasst. Die Anpassung erfolgt nach folgender Formel: alter Unterhaltsbeitrag x neuer Index Neuer Unterhaltsbeitrag = alter Index Fällt der Index unter den Stand von Ende September 2016, berechtigt dies nicht zu einer Herabsetzung der Unterhaltsbeiträge. 4. Der Beklagte wird verpflichtet, zusätzlich zu den Unterhaltsbeiträgen ge- mäss Ziffer 1 hiervor und den Unterhaltsbeiträgen für C._____ in der Höhe von monatlich Fr. 1'100.-- zuzüglich Kinderzulagen gemäss Beschluss des Obergerichts, II. ZK, vom 10. März 2016, Dispositivziffer 7, S. 9 einen Kin- derunterhaltsbeitrag von Fr. 1'200.-- pro Jahr zu bezahlen, zahlbar per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