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LC120045 vom 20. Dezember 2012</w:t>
      </w:r>
    </w:p>
    <w:p>
      <w:r>
        <w:t>ZH Obergericht, 2012-12-20, DE</w:t>
      </w:r>
    </w:p>
    <w:p>
      <w:r>
        <w:rPr>
          <w:b/>
        </w:rPr>
        <w:t xml:space="preserve">Quelle: </w:t>
      </w:r>
      <w:r>
        <w:t>https://mcp.opencaselaw.ch/entscheid/zh_obergericht_LC120045</w:t>
      </w:r>
    </w:p>
    <w:p>
      <w:r>
        <w:t>FR: ZH_OBERGERICHT LC120045 du 20 décembre 2012</w:t>
      </w:r>
    </w:p>
    <w:p>
      <w:r>
        <w:t>IT: ZH_OBERGERICHT LC120045 del 20 dicembre 2012</w:t>
      </w:r>
    </w:p>
    <w:p>
      <w:pPr>
        <w:pStyle w:val="Heading2"/>
      </w:pPr>
      <w:r>
        <w:t>Erwägungen</w:t>
      </w:r>
    </w:p>
    <w:p>
      <w:r>
        <w:rPr>
          <w:b/>
        </w:rPr>
        <w:t>E. 1</w:t>
      </w:r>
    </w:p>
    <w:p>
      <w:r>
        <w:t>Mit Urteil des Bezirksgerichtes Zürich vom 22. Januar 2009 wurden die Parteien geschieden und die Nebenfolgen geregelt. Der Kläger und Berufungsbe- klagte (nachfolgend Kläger) erhob am 31. März 2011 eine Abänderungsklage und verlangte unter anderem die gemeinsame elterliche Sorge über den gemeinsa- men Sohn C._____ (geb. tt.mm.2005) sowie die Ausdehnung des Besuchsrechts. Im Verlauf des Verfahrens mussten vorsorgliche Massnahmen erlassen werden. Am 27. September 2012 fällte die Vorinstanz den Endentscheid, dabei regel- te sie auch die vorsorglichen Massnahmen neu. Über den Verfahrensgang gibt der angefochtene Entscheid Auskunft (Urk. 77).</w:t>
      </w:r>
    </w:p>
    <w:p>
      <w:r>
        <w:rPr>
          <w:b/>
        </w:rPr>
        <w:t>E. 2</w:t>
      </w:r>
    </w:p>
    <w:p>
      <w:r>
        <w:t>Sowohl gegen den Massnahmenentscheid als auch gegen den En- dentscheid erhoben beide Parteien je eine Berufung. Die weiteren Verfahren wur- den hier unter den Proz. Nr. LY120044, LY120045 und LC120048 anhand ge- nommen. Mit ihrer Berufungsschrift vom 5. November 2012 stellte die Beklagte und Berufungsklägerin (fortan Beklagte) die eingangs dargelegten Berufungsan- träge (Urk. 76 S. 2).</w:t>
      </w:r>
    </w:p>
    <w:p>
      <w:r>
        <w:t>- 5 -</w:t>
      </w:r>
    </w:p>
    <w:p>
      <w:r>
        <w:rPr>
          <w:b/>
        </w:rPr>
        <w:t>E. 3</w:t>
      </w:r>
    </w:p>
    <w:p>
      <w:r>
        <w:t>Die Parteien stellen fest, dass die Dispositiv Ziffer 2 sowie 4-6 des Urteils des Bezirksgerichts Zürich, 3. Abteilung (Einzelgericht), vom 27. September 2012 im Berufungsverfahren unangefochten geblieben sind.</w:t>
      </w:r>
    </w:p>
    <w:p>
      <w:r>
        <w:rPr>
          <w:b/>
        </w:rPr>
        <w:t>E. 4</w:t>
      </w:r>
    </w:p>
    <w:p>
      <w:r>
        <w:t>Gestützt auf diese Vereinbarung ziehen die Parteien ihre Berufungen Proz.Nr. LY120044-O und LY120045-O zurück und beantragen die Abschreibung der Berufungen Proz.Nr. LC120045-O und LC120048-O.</w:t>
      </w:r>
    </w:p>
    <w:p>
      <w:r>
        <w:rPr>
          <w:b/>
        </w:rPr>
        <w:t>E. 4.1</w:t>
      </w:r>
    </w:p>
    <w:p>
      <w:r>
        <w:t>Vorliegend ist in der Hauptsache das Besuchsrecht des Klägers um- stritten.</w:t>
      </w:r>
    </w:p>
    <w:p>
      <w:r>
        <w:rPr>
          <w:b/>
        </w:rPr>
        <w:t>E. 4.2</w:t>
      </w:r>
    </w:p>
    <w:p>
      <w:r>
        <w:t>Soweit in familienrechtlichen Angelegenheiten Kinderbelange zu regeln sind, gilt die Untersuchungs- und Offizialmaxime; das Gericht muss den Sachver- halt von Amtes wegen erforschen, ist an die Parteianträge nicht gebunden und hat von sich aus die nötigen Vorkehren zu treffen (Art. 296 Abs. 1 und 3 ZPO). Eine von den Parteien getroffene Vereinbarung betreffend Kinderbelange wird vom Gericht dementsprechend als übereinstimmenden Parteiantrag entgegenge- nommen und geprüft (Bräm/Hasenböhler, Zürcher Kommentar, Art. 169-180 ZGB, 3. Auflage, Zürich 1997, N 17 und N 117 zu Art. 176).</w:t>
      </w:r>
    </w:p>
    <w:p>
      <w:r>
        <w:rPr>
          <w:b/>
        </w:rPr>
        <w:t>E. 4.3</w:t>
      </w:r>
    </w:p>
    <w:p>
      <w:r>
        <w:t>Das von den Parteien gemeinsam beantragte Besuchsrecht entspricht weitgehend dem gerichtsüblichen. Den speziellen Umständen, dass der Besuchs-</w:t>
      </w:r>
    </w:p>
    <w:p>
      <w:r>
        <w:t>- 7 - kontakt zwischen dem Vater und dem Sohn während der bisherigen Verfahrens- dauer eingeschränkt war, wird mit einer angemessenen Übergangsfrist begegnet. Dem gemeinsamen Antrag kann somit entsprochen werden.</w:t>
      </w:r>
    </w:p>
    <w:p>
      <w:r>
        <w:rPr>
          <w:b/>
        </w:rPr>
        <w:t>E. 5</w:t>
      </w:r>
    </w:p>
    <w:p>
      <w:r>
        <w:t>Die Gerichtskosten werden der klagenden Partei zu 3/4 und der beklagten Par- tei zu 1/4 auferlegt, die Kosten beider Parteien jedoch zufolge Gewährung der unentgeltlichen Rechtspflege einstweilen auf die Gerichtskasse genommen. Die Parteien werden auf die Nachzahlungspflicht gemäss Art. 123 ZPO hinge- wiesen.</w:t>
      </w:r>
    </w:p>
    <w:p>
      <w:r>
        <w:rPr>
          <w:b/>
        </w:rPr>
        <w:t>E. 6</w:t>
      </w:r>
    </w:p>
    <w:p>
      <w:r>
        <w:t>Schriftliche Mitteilung an die Parteien, sowie an das Bezirksgericht Zürich, 3. Abteilung (Einzelgericht) und an die Obergerichtskasse, je gegen Emp- fangsschein.</w:t>
      </w:r>
    </w:p>
    <w:p>
      <w:r>
        <w:t>- 10 -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Die Anfechtung einer Parteierklärung (Vergleich, Anerkennung oder Rückzug des Be- gehrens) hat nicht mit Beschwerde an das Bundesgericht, sondern mit Revision beim Obergericht zu erfolgen (Art. 328 ff. ZPO). Zürich, 20. Dezember 2012 Obergericht des Kantons Zürich I. Zivilkammer Der Vorsitzende: Der Gerichtsschreiber: Dr. R. Klopfer lic. iur. G. Kenny versandt: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