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LC120020 vom 6. Juli 2012</w:t>
      </w:r>
    </w:p>
    <w:p>
      <w:r>
        <w:t>ZH Obergericht, 2012-07-06, DE</w:t>
      </w:r>
    </w:p>
    <w:p>
      <w:r>
        <w:rPr>
          <w:b/>
        </w:rPr>
        <w:t xml:space="preserve">Quelle: </w:t>
      </w:r>
      <w:r>
        <w:t>https://mcp.opencaselaw.ch/entscheid/zh_obergericht_LC120020</w:t>
      </w:r>
    </w:p>
    <w:p>
      <w:r>
        <w:t>FR: ZH_OBERGERICHT LC120020 du 6 juillet 2012</w:t>
      </w:r>
    </w:p>
    <w:p>
      <w:r>
        <w:t>IT: ZH_OBERGERICHT LC120020 del 6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wurden mit Urteil des Bezirksgerichts Uster vom 20. Novem- ber 2006 geschieden. Die Kinder D._____, geboren tt.mm.1990, E._____, gebo- ren tt.mm.1994, und C._____, geboren tt.mm.2001, wurden unter die elterliche Sorge des Beklagten und Berufungsbeklagten (fortan Beklagter) gestellt. Mit Be- zug auf D._____ wurde auf eine gerichtliche Regelung des Besuchsrechts ver- zichtet; hinsichtlich E._____ und C._____ wurde der Klägerin und Berufungsklä- gerin (fortan Klägerin) ein begleitetes Besuchsrecht am zweiten und vierten Wo- chenende jeden Monats (Samstagmorgen bis Sonntagabend) eingeräumt (Urk. 4).</w:t>
      </w:r>
    </w:p>
    <w:p>
      <w:r>
        <w:rPr>
          <w:b/>
        </w:rPr>
        <w:t>E. 2</w:t>
      </w:r>
    </w:p>
    <w:p>
      <w:r>
        <w:t>Am 7. September 2010 ging die Abänderungsklage bei der Vorinstanz ein, wobei die Klägerin zunächst das gemeinsame Sorgerecht über C._____ be- antragte (Urk. 1, Urk. 7, Prot. I S. 9). Anlässlich der Fortsetzung der Hauptver- handlung stellte die Klägerin in ihrem zweiten Parteivortrag vom 2. März 2011 die obgenannten geänderten Rechtsbegehren (Urk. 63 S. 1 f.). Mit Beschluss vom</w:t>
      </w:r>
    </w:p>
    <w:p>
      <w:r>
        <w:rPr>
          <w:b/>
        </w:rPr>
        <w:t>E. 3</w:t>
      </w:r>
    </w:p>
    <w:p>
      <w:r>
        <w:t>Die Parteien übernehmen die Gerichtskosten für das zweitinstanzliche Verfahren je zur Hälfte und verzichten für das zweitinstanzliche Verfah- ren gegenseitig auf Prozessentschädigung.</w:t>
      </w:r>
    </w:p>
    <w:p>
      <w:r>
        <w:rPr>
          <w:b/>
        </w:rPr>
        <w:t>E. 4</w:t>
      </w:r>
    </w:p>
    <w:p>
      <w:r>
        <w:t>Die Kosten des erstinstanzlichen Verfahrens seien vollumfänglich dem Berufungsbeklagten zu auferlegen. Dieser sei überdies zur Leistung ei- ner angemessenen Prozessentschädigung an die Beklagte bzw. deren Rechtsvertreter zu verpflichten.</w:t>
      </w:r>
    </w:p>
    <w:p>
      <w:r>
        <w:rPr>
          <w:b/>
        </w:rPr>
        <w:t>E. 5</w:t>
      </w:r>
    </w:p>
    <w:p>
      <w:r>
        <w:t>a) Demzufolge entfiel mit dem Aufenthaltswechsel von C._____ die Zu- ständigkeit der schweizerischen Gerichte zur Beurteilung des Sorgerechts- und Besuchsrechtsstreites. Daran ändert nichts, dass es der Beklagte seinerseits un- terlassen hat, sich auf einen Zuständigkeitswechsel zu berufen. Die Zuständig- keitsordnung gemäss HKsÜ ist abschliessender Natur und der Parteidisposition entzogen. Die Vorinstanz war nach dem 1. August 2011 nicht mehr befugt, über die Rechtsbegehren der Klägerin – soweit es C._____ betrifft – ein Urteil zu fällen. Auf die Klage auf Übertragung der elterlichen Sorge über den Sohn C._____ auf die Klägerin ist daher nicht einzutreten. b) Die Klägerin hat in der Berufungsschrift erklärt, die von der Vorinstanz angeordnete Besuchsrechtsregelung (Dispositiv Ziffer 2) werde nicht angefoch- ten, wenn sie im Hauptpunkt nicht durchdringen sollte (Urk. 94 S. 3). Demzufolge wird in diesem Punkt das vorinstanzliche Urteil mit dem heutigen Tag rechtskräf- tig, was vorzumerken ist. III. 1. Da der Beklagte durch die Wohnsitzverlegung in die F._____ während laufendem Verfahren die fehlende Zuständigkeit verursacht hat, besteht kein An- lass, von der erstinstanzlichen hälftigen Teilung der Prozesskosten abzuweichen. 2. Für das Berufungsverfahren wird die Klägerin kostenpflichtig (Art. 106 Abs. 1 ZPO). Dem Beklagten ist keine Parteientschädigung zuzusprechen, da ihm kein entschädigungspflichtiger Aufwand entstanden ist. 3. Der Klägerin war von der Vorinstanz die unentgeltliche Prozessführung bewilligt und Rechtsanwalt Dr. X._____ als unentgeltlicher Rechtsbeistand bestellt worden. Die Klägerin stellt auch für das Berufungsverfahren ein Gesuch um Ge- währung der unentgeltlichen Rechtspflege (Urk. 94 S. 2). Da sich die Berufung je-</w:t>
      </w:r>
    </w:p>
    <w:p>
      <w:r>
        <w:t>- 9 - doch als offensichtlich aussichtslos erweist, kann der Klägerin die unentgeltliche Rechtspflege nicht gewährt werden (Art. 117 ZPO). Das Gesuch ist abzuweisen.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