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LC110067 vom 16. März 2012</w:t>
      </w:r>
    </w:p>
    <w:p>
      <w:r>
        <w:t>ZH Obergericht, 2012-03-16, DE</w:t>
      </w:r>
    </w:p>
    <w:p>
      <w:r>
        <w:rPr>
          <w:b/>
        </w:rPr>
        <w:t xml:space="preserve">Quelle: </w:t>
      </w:r>
      <w:r>
        <w:t>https://mcp.opencaselaw.ch/entscheid/zh_obergericht_LC110067</w:t>
      </w:r>
    </w:p>
    <w:p>
      <w:r>
        <w:t>FR: ZH_OBERGERICHT LC110067 du 16 mars 2012</w:t>
      </w:r>
    </w:p>
    <w:p>
      <w:r>
        <w:t>IT: ZH_OBERGERICHT LC110067 del 16 marzo 2012</w:t>
      </w:r>
    </w:p>
    <w:p>
      <w:pPr>
        <w:pStyle w:val="Heading2"/>
      </w:pPr>
      <w:r>
        <w:t>Erwägungen</w:t>
      </w:r>
    </w:p>
    <w:p>
      <w:r>
        <w:rPr>
          <w:b/>
        </w:rPr>
        <w:t>E. 1</w:t>
      </w:r>
    </w:p>
    <w:p>
      <w:r>
        <w:t>Das angefochtene Urteil der Vorinstanz vom 15. März 2011 wurde den Parteien (erst) am 23. bzw. 26. September 2011 zugestellt (Urk. 139/1 und 139/2). Die Beklagte hat ihre Berufungsschrift am 24. Oktober 2011 (Datum des Poststempels) fristgerecht eingereicht (Urk. 143) und den ihr auferlegten Kosten- vorschuss ebenfalls innert Frist geleistet (Prot. II S. 2; Urk. 147). Die Berufungs- antwort datiert vom 16. Dezember 2011 (Urk. 149). Es wurden keine weiteren Rechtsschriften eingeholt.</w:t>
      </w:r>
    </w:p>
    <w:p>
      <w:r>
        <w:rPr>
          <w:b/>
        </w:rPr>
        <w:t>E. 2</w:t>
      </w:r>
    </w:p>
    <w:p>
      <w:r>
        <w:t>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Der vor- instanzliche Entscheid datiert vom 15. März 2011 und wurde den Parteien wie er- wähnt im September 2011 schriftlich eröffnet (Urk. 204). Demnach ist vorliegend für das Berufungsverfahren die Schweizerische Zivilprozessordnung (ZPO) an- wendbar. Demgegenüber hatte die Vorinstanz die bisherigen Bestimmungen der ZPO/ZH und des GVG/ZH sowie die Verfahrensbestimmungen von Art. 135-149 aZGB anzuwenden.</w:t>
      </w:r>
    </w:p>
    <w:p>
      <w:r>
        <w:rPr>
          <w:b/>
        </w:rPr>
        <w:t>E. 3</w:t>
      </w:r>
    </w:p>
    <w:p>
      <w:r>
        <w:t>a) Die Vorinstanz hat den monatlichen Bedarf der Beklagten für eine erste Phase bis Ende 2013 wie folgt beziffert: a) Grundbetrag 1'100.00 b) Hypothekarzinsen 1'346.00 c) Nebenkosten 380.00 d) Krankenkasse 509.15 e) Haftpflichtversicherung 43.00 f) Telefon/Radio/TV 120.00 g) Auswärtige Verpflegung 112.00 h) Fahrt zur Arbeit 134.00 i) Selbstbehalt Krankenkasse 50.00 j) Ferien 300.00 k) Altersvorsorge 300.00 l) Steuern 450.00 Total Bedarf: 4'844.15 b) Die Beklagte bemängelt die folgenden Positionen: aa) Altersvorsorge aaa) Die Vorinstanz erwog, der Beklagten sei die Möglichkeit zu geben, eine angemessene Altersvorsorge aufzubauen. Der Kläger zahle gemäss Urk. 53/1-3 monatlich ungefähr Fr. 1'100.– an AHV und berufliche Vorsorge ein. Rund die Hälfte davon hätte bei Weiterführung der Ehe nach Pensionierung des Klägers der Beklagten zur Verfügung gestanden. Bei einem monatlichen Lohn von aufge- rechnet Fr. 3'289.– äufne die Beklagte ungefähr Fr. 350.– an erster und zweiter Säule. Es erscheine angemessen, ihr in der ersten Phase einen Betrag von Fr. 300.– pro Monat für Altersvorsorge anzurechnen (Urk. 142 S. 19). bbb) Die Beklagte macht geltend, die Abzüge für AHV und 2. Säule beliefen sich beim Kläger unter Berücksichtigung des 13. Monatslohns auf mindestens Fr. 1'300.–. Bei der Beklagten belaufe sich der massgebliche Abzug auf Fr. 326.–. Es ergebe sich eine Differenz von Fr. 224.– gegenüber der vorinstanzlichen Be- rechnung. Folge man der Bundesgerichtspraxis (BGE 135 III 158), so betrage das monatliche Defizit der Beklagten Fr. 571.–, ausgehend von einem monatlichen Nettoeinkommen von Fr. 5'500.– (inkl. 13. Monatslohn). Dieses Einkommen könn- te die Beklagte ohne ehebedingte Nachteile erzielen. Es werde daher an den be-</w:t>
      </w:r>
    </w:p>
    <w:p>
      <w:r>
        <w:t>- 11 - reits vor Vorinstanz geltend gemachten Fr. 500.– als Vorsorgeunterhalt festgehal- ten (Urk. 143 S. 8 f.). Der Kläger ist der Auffassung, Fr. 300.– für die Altersvorsorge seien bei ei- nem 80 %-Pensum übersetzt. Er geht vom erweiterten Bedarf der Beklagten aus, wie ihn die Vorinstanz errechnet hat. Ohne Altersvorsorge betrage er Fr. 4'544.15. Dies ergebe ein fiktives Bruttoeinkommen von Fr. 5'223.15. Davon abzuziehen sei das Einkommen der Beklagten von Fr. 3'920.–. Der AHV-Vorsorgeanteil betrage daher Fr. 130.30. Berücksichtige man beim fiktiven Bruttoeinkommen nebst dem Einkommen der Beklagten auch noch den Koordinationsabzug (1/12 von Fr. 24'360.–, ergebe sich kein Vorsorgedefizit in der 2. Säule. Das gleiche gelte, wenn man von einem fiktiven Bruttoeinkommen von Fr. 4'608.15 (entsprechend dem von der Beklagten geltend gemachten Bedarf ohne Altersvorsorge) ausgehe (Urk. 149 S. 10 f.). ccc) Der sog. Vorsorgeunterhalt im Sinne von Art. 125 Abs. 1 ZGB betrifft den Ausgleich allfälliger künftiger nachehelicher Einbussen, wenn ein Ehegatte wegen Kinderbetreuungspflichten, der Gesundheit oder seines Alters in den Jah- ren nach der Scheidung keiner oder nur einer beschränkten Erwerbstätigkeit wird nachgehen und deshalb auch nicht die vollen Beiträge in die eigene Altersvorsor- ge wird einbezahlen können (BSK ZGB I-Gloor/Spycher, Art. 125 N 4). Im Vor- dergrund steht, die Altersvorsorge auf Grund der für die Ehegatten massgeben- den Lebenshaltung zu bemessen, d.h. die Lebenshaltung, auf deren Fortführung der unterhaltsberechtigte Ehegatte grundsätzlich Anspruch hat, in ein fiktives Bruttoeinkommen umzurechnen und darauf die Arbeitgeber- und Arbeitnehmer- beiträge zu berechnen, die zusammen, erweitert um eine allfällige Steuerbelas- tung, den Vorsorgeunterhalt ergeben (BGE 135 III 159 ff., E. 4.1 und 4.4). Aller- dings ist die Anwendung anderer Berechnungsmethoden nicht ausgeschlossen (BGE 5A_749/2009, E. 5.2). Wie nachfolgend (lit. c) zu zeigen ist, beträgt die massgebliche Lebenshal- tung der Beklagten rund Fr. 5'000.–. Dies ergibt umgerechnet ein Bruttoeinkom- men von rund Fr. 5'750.– (Nettoeinkommen : 87 x 100). Abzüglich des Eigenver-</w:t>
      </w:r>
    </w:p>
    <w:p>
      <w:r>
        <w:t>- 12 - dienstes von Fr. 3'920.– ergibt dies Fr. 1'830.–. Die AHV-Beiträge zu 10 % belau- fen sich auf Fr. 183.– (vgl. BGE 5A_615/2009 E. 6.4). Im Bereich der beruflichen Vorsorge ist wiederum von der Differenz zwi- schen der Lebenshaltung und dem Eigenverdienst (je brutto), nämlich Fr. 1'830.– auszugehen. Auf dieser Differenz sind die BVG-Beiträge zu berechnen, welche der Kläger bei vorhandener Leistungsfähigkeit zu übernehmen hat. Entgegen sei- ner Auffassung ist hier der Koordinationsabzug nach Art. 8 Abs. 1 BVG und Art. 5 BVV 2 nicht in Abzug zu bringen, da der Eigenverdienst grösser ist als der Koor- dinationsabzug (vgl. FamKomm Scheidung/Aeschlimann/Bähler/Freivogel, Anh. UB N 26 f.). Bei Annahme eines BVG-Beitrags von durchschnittlich 15 % ergibt sich ein Beitrag von Fr. 274.50.– (vgl. BGE 5A_615/2009, E. 6.4). Der Beitrag an die Altersvorsorge beläuft sich somit auf rund Fr. 460.–. bb) Steuerbelastung aaa) Die Vorinstanz ging von einem Einkommen von Fr. 3'920.–, Unter- haltsbeiträgen von ungefähr Fr. 1'000.–, einem Eigenmietwert von etwa Fr. 16'000.–, einem Steuerwert der Liegenschaft von Fr. 450'000.–und einer Hy- pothek von Fr. 500'000.– aus und bezifferte die jährlichen Steuern der Beklagten auf ca. Fr. 5'500.– bzw. auf monatlich Fr. 450.– (Urk. 142 S. 19 f.). bbb) Die Steuerbelastung beträgt nach Berechnung der Beklagten Fr. 514.– monatlich. Offenbar habe es die Vorinstanz unterlassen, die direkten Bundes- steuern in die Berechnung einzubeziehen (Urk. 143 S. 7). Der Kläger errechnet eine monatliche Steuerbelastung für die Beklagte von Fr. 456.30 (Urk. 149 S. 8). ccc) Unterhaltsbeitrag und Steuerbelastung beeinflussen sich gegenseitig. Für die Steuerberechnung sind folgende Eckwerte heranzuziehen: Steuerfuss Gemeinde W._____ 2012 (reformiert) 126 Tarif alleinst. Autokosten absetzbar? ja</w:t>
      </w:r>
    </w:p>
    <w:p>
      <w:r>
        <w:t>- 13 - Staatssteuer Bundessteuer Erwerbseinkommen 3'712.00 Unterhaltsbeitrag 1'300.00 Total Monat 5'012.00 Einkommen netto Jahr 60'144.00 Eigenmietwert 16'000.00 Total 76'144.00 76'144.00 Abzüge Hypozins 16'152.00 16'152.00 Unterhalt Liegenschaft 3'200.00 3'200.00 Fahrkosten öV 0.00 0.00 Fahrkosten Auto 1'608.00 1'608.00 Verpflegung 1'344.00 1'344.00 Berufsauslagen 1'900.00 1'900.00 Versicherungen/Zinsen 2'400.00 1'700.00 steuerbares Einkommen 49'540.00 50'240.00 einfache Staatssteuer 2'163.00 einfache Vermögenssteuer 0.00 Staatssteuer 4'910.00 454.55 beide Steuern 5'364.55 pro Monat 447.04 Der Kläger berechnete die monatliche Steuerbelastung der Beklagten auf Fr. 456.30; er anerkennt den von der Vorinstanz eingesetzten Betrag von Fr. 450.–. Es ist daher von diesem Betrag auszugehen. c) Bis Ende 2013 beläuft sich somit der monatliche Bedarf der Beklagten auf Fr. 5'004.15 (Fr. 4'844.15 + Fr. 160.–). d) aa) Für die Zeit ab 1. Januar 2014 berechnete die Vorinstanz einen mo- natlichen Bedarf der Beklagten von Fr. 4'714.40. Dabei ging die Vorinstanz von einer 100 %-Erwerbstätigkeit der Beklagten aus, nämlich 90 % am Spital G._____ und 10 % als Coiffeuse. Die Fahrkosten wurden um Fr. 38.25 und die Mehrkosten für auswärtige Verpflegung um Fr. 10.– erhöht, der Betrag für die Altersvorsorge auf 100.– herabgesetzt (Urk. 142 S. 20 f.). bb) Die Beklagte bemängelt auch hier die Positionen Steuern und Altersvor- sorge und beziffert den gesamten Bedarf auf Fr. 4'994.40. Bezüglich der Steuern verweist sie auf ihre Ausführungen zur Phase 1. Bei der Altersvorsorge macht die Beklagte geltend, es würden ihr bei einem 90 %-Pensum für die erste und zweite</w:t>
      </w:r>
    </w:p>
    <w:p>
      <w:r>
        <w:t>- 14 - Säule Beiträge von Fr. 367.– und nicht – wie von der Vorinstanz angenommen – Fr. 469.– abgezogen. Inwiefern ein Betrag von Fr. 100.– für die Altersvorsorge angemessen sei, begründe die Vorinstanz nicht weiter. Nach der Berechnungs- methode des Bundesgerichts ergebe sich bei der Altersvorsorge ein monatliches Defizit von Fr. 316.– (Urk. 143 S. 9 f.). Der Kläger ist der Auffassung, der Beklagten stehe für die zweite Phase kein Vorsorgeunterhalt zu. Der Bedarf belaufe sich auf Fr. 4'614.40 (Urk. 149 S. 12). cc) Bei den Steuern ergibt sich keine Erhöhung, da die Gesamteinkünfte ge- genüber der ersten Phase insgesamt leicht sinken (nachfolgend Ziff. 4 und 5). Ein Beitrag an die Altersvorsorge kommt bei voller Erwerbstätigkeit dann in Frage, wenn der "Verbrauchsunterhalt", d.h. die Lebenshaltung, auf welche die Beklagten Anspruch hat, nicht mit ihrem (AHV- und BVG-pflichtigen) Erwerbsein- kommen gedeckt werden kann. Ihr Einkommen beträgt in der zweiten Phase Fr. 4'651.– netto (nachfolgend Ziff. 4). Damit kann sie ihren Bedarf ohne den Bei- trag an die Altersvorsorge (Fr. 4'714.40 – Fr. 100.– = Fr. 4'614.40) decken. Ein solcher ist daher nicht in den Bedarf aufzunehmen. In der zweiten Phase beläuft sich daher der massgebliche Bedarf der Beklagten auf Fr. 4'614.40.</w:t>
      </w:r>
    </w:p>
    <w:p>
      <w:r>
        <w:rPr>
          <w:b/>
        </w:rPr>
        <w:t>E. 4</w:t>
      </w:r>
    </w:p>
    <w:p>
      <w:r>
        <w:t>a) Das Einkommen der Beklagten aus Erwerbstätigkeit beträgt für die ers- te Phase unbestrittenermassen Fr. 3'712.– netto (Urk. 142 S. 14; Urk. 143 S. 6; Urk. 149 S. 7). Für die zweite Phase ist die Vorinstanz von einem Erwerbsein- kommen von Fr. 4'651.– netto ausgegangen (Urk. 142 S. 14). Dies blieb im Beru- fungsverfahren ebenfalls unangefochten (Urk. 143 S. 6; Urk. 149 S. 7), weshalb davon auszugehen ist. b) Die Vorinstanz rechnete der Beklagten monatliche Darlehenszinsen von Fr. 208.– als Einkommen an, da sie dem Ehepaar H._____ ein verzinsliches Dar- lehen von Fr. 125'000.– gewährt hatte (Urk. 142 S. 12 und 14). Im Berufungsver- fahren macht die Beklagte geltend, das Darlehen sei mit Valuta vom 29. Juni 2011 zurückbezahlt worden. Am folgenden Tag habe die Beklagte dem Kläger die</w:t>
      </w:r>
    </w:p>
    <w:p>
      <w:r>
        <w:t>- 15 - geschuldete güterrechtliche Ausgleichszahlung von Fr. 100'000.– bezahlt. Damit sei der Darlehenszins als Einkommen entfallen (Urk. 143 S. 6). Der Kläger bestreitet nicht, dass das Darlehen zurückbezahlt wurde und er von der Beklagten die Fr. 100'000.– erhalten hat. Er macht aber geltend, die Be- klagte habe das Darlehen ohne Not gekündigt, weil sie bei der I._____ u.a. über ein Guthaben von Fr. 100'000.– verfügt habe. Zudem bestehe eine Differenz von Fr. 25'000.– zwischen dem Darlehensbetrag und der Ausgleichszahlung (Urk. 149 S. 7). Da das Darlehen zurückbezahlt wurde, entfallen die Darlehenszinsen als Einkünfte der Beklagten. Ihr kann nicht vorgeworfen werden, sie hätte die güter- rechtliche Ausgleichszahlung aus andern Mitteln leisten müssen, zumal gemäss "Anlagevertrag" die Beklagte und die Darlehensnehmer die Rückzahlung des Dar- lehens spätestens im Zeitpunkt der Scheidung der Beklagten vereinbart hatten (Urk. 41/6). Hinzu kommt, dass die Feststellung der Vorinstanz im Urteilsdispositiv (Ziff. 3), die Beklagte verfüge neben der Liegenschaft in W._____ über kein Ver- mögen, vom Kläger nicht angefochten wurde. Damit bleibt es bei den Einkünften aus Erwerbseinkommen.</w:t>
      </w:r>
    </w:p>
    <w:p>
      <w:r>
        <w:rPr>
          <w:b/>
        </w:rPr>
        <w:t>E. 5</w:t>
      </w:r>
    </w:p>
    <w:p>
      <w:r>
        <w:t>Der Beklagten fehlen in der ersten Phase bis Ende 2013 Fr. 1'300.–, um ihren gebührenden Unterhalt zu decken (Fr. 5'004.15 – Fr. 3'712.–). Entspre- chend ist der Kläger zu monatlichen Unterhaltszahlungen zu verpflichten. Die Leistungsfähigkeit des Klägers ist angesichts eines unbestrittenen monatlichen Nettoeinkommens von Fr. 10'602.– und eines Bedarfs von höchstens Fr. 6'057.45 gegeben (Urk. 142 S. 21 und 25). Unter diesen Umständen braucht auf die Aus- führungen der Beklagten, wonach sich der Bedarf des Klägers auf Fr. 5'657.– be- laufe, nicht weiter eingegangen zu werden (Urk. 143 S. 10). In der zweiten Phase ist die Beklagte, wie bereits erwähnt, nicht auf Unter- haltszahlungen des Klägers angewiesen, um ihren gebührenden Unterhalt zu de- cken. Die Unterhaltsklage ist daher im Übrigen abzuweisen.</w:t>
      </w:r>
    </w:p>
    <w:p>
      <w:r>
        <w:t>- 16 - IV. Die Beklagte hat im Berufungsverfahren gegenüber den von der Vorinstanz zugesprochenen Unterhaltsbeiträgen eine Erhöhung derselben im Betrag von rund Fr. 270'000.– zuzüglich die Erhöhung wegen der wegfallenden Kinderunter- haltsbeiträgen verlangt, obsiegt aber nur mit rund Fr. 10'000.–. Da sie praktisch vollständig unterliegt, sind ihr die Kosten des Berufungsverfahrens aufzuerlegen und ist sie zu verpflichten, dem Kläger eine ungekürzte Parteientschädigung für das zweitinstanzliche Verfahren zu bezahlen. Der Kläger hat keinen Mehrwert- steuerzuschlag beantragt. Die Rechtsmittelinstanz hat auch über die Prozesskos- ten des erstinstanzlichen Verfahrens zu entscheiden (Art. 318 Abs. 3 ZPO). Da die vorinstanzliche Kosten- und Entschädigungsregelung im Berufungsverfahren von keiner Partei gerügt wurde, ist sie zu übernehmen.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