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LC110064 vom 2. Juli 2012</w:t>
      </w:r>
    </w:p>
    <w:p>
      <w:r>
        <w:t>ZH Obergericht, 2012-07-02, DE</w:t>
      </w:r>
    </w:p>
    <w:p>
      <w:r>
        <w:rPr>
          <w:b/>
        </w:rPr>
        <w:t xml:space="preserve">Quelle: </w:t>
      </w:r>
      <w:r>
        <w:t>https://mcp.opencaselaw.ch/entscheid/zh_obergericht_LC110064</w:t>
      </w:r>
    </w:p>
    <w:p>
      <w:r>
        <w:t>FR: ZH_OBERGERICHT LC110064 du 2 juillet 2012</w:t>
      </w:r>
    </w:p>
    <w:p>
      <w:r>
        <w:t>IT: ZH_OBERGERICHT LC110064 del 2 luglio 2012</w:t>
      </w:r>
    </w:p>
    <w:p>
      <w:pPr>
        <w:pStyle w:val="Heading2"/>
      </w:pPr>
      <w:r>
        <w:t>Erwägungen</w:t>
      </w:r>
    </w:p>
    <w:p>
      <w:r>
        <w:rPr>
          <w:b/>
        </w:rPr>
        <w:t>E. 1</w:t>
      </w:r>
    </w:p>
    <w:p>
      <w:r>
        <w:t>Die Parteien heirateten am tt.Februar 1979. Sie haben zwei gemeinsame, erwachsene Söhne: G._____, geb. tt.mm.1979, und H._____ geb. tt.mm.1981 (Urk. 2). Die Parteien leben seit 1. Juni 2003 getrennt. Mit Verfügung des Einzel- richters im summarischen Verfahren am Bezirksgericht Hinwil vom 7. November 2003 wurde die Vereinbarung über die Nebenfolgen des Getrenntlebens vorge- merkt bzw. genehmigt (Urk. 7/28).</w:t>
      </w:r>
    </w:p>
    <w:p>
      <w:r>
        <w:rPr>
          <w:b/>
        </w:rPr>
        <w:t>E. 2</w:t>
      </w:r>
    </w:p>
    <w:p>
      <w:r>
        <w:t>Am 25. August 2005 reichte der Kläger, Berufungsbeklagte und An- schlussberufungskläger (fortan Kläger) Scheidungsklage und Weisung des Frie- densrichteramtes D._____ bei der Vorinstanz ein (Urk. 1, Urk. 3). Die Beklagte stimmte in der Folge der Scheidung zu (Prot. I S. 7, Urk. 37 S. 1). Für den Verlauf</w:t>
      </w:r>
    </w:p>
    <w:p>
      <w:r>
        <w:t>- 10 - des erstinstanzlichen Verfahrens kann auf das angefochtene Urteil verwiesen werden (Urk. 232 S. 2 ff.). Am 22. Dezember 2010 fällte die Vorinstanz das ein- gangs im Dispositiv aufgeführte Urteil, das am 17. August 2011 an die Parteien verschickt wurde (Urk. 232 S. 51).</w:t>
      </w:r>
    </w:p>
    <w:p>
      <w:r>
        <w:rPr>
          <w:b/>
        </w:rPr>
        <w:t>E. 3</w:t>
      </w:r>
    </w:p>
    <w:p>
      <w:r>
        <w:t>Die Unterhaltsbeiträge gemäss Ziffer 1 hievor basieren auf dem Landesindex der Konsumentenpreise des Bundesamtes für Statistik, Stand Ende Mai 2012 mit 99.8 Punkten (Basis Dezember 2010 = 100 Punkte). Sie sind jeweils auf den 1. Januar eines jeden neuen Jahres, erstmals per 1. Januar 2013, dem Stand des Indexes per Ende November des Vorjahres anzupassen. Die Anpassung erfolgt gemäss folgender Formel: alter Unterhaltsbeitrag x neuer Index Neuer Unterhaltsbeitrag = alter Index</w:t>
      </w:r>
    </w:p>
    <w:p>
      <w:r>
        <w:t>- 11 -</w:t>
      </w:r>
    </w:p>
    <w:p>
      <w:r>
        <w:rPr>
          <w:b/>
        </w:rPr>
        <w:t>E. 4</w:t>
      </w:r>
    </w:p>
    <w:p>
      <w:r>
        <w:t>Der Kläger verpflichtet sich, der Beklagten nebst der bereits rechtskräftigen Zah- lungsverpflichtung gemäss Dispositiv Ziffer 5.e) des erstinstanzlichen Urteils vom 22. Dezember 2010 (Fr. 256'040.–) eine weitere güterrechtliche Ausgleichszahlung von Fr. 36'000.– zu bezahlen. Die Beklagte zieht ihren Berufungsantrag Ziffer 3 im darüber hinausgehenden Um- fange zurück.</w:t>
      </w:r>
    </w:p>
    <w:p>
      <w:r>
        <w:rPr>
          <w:b/>
        </w:rPr>
        <w:t>E. 5</w:t>
      </w:r>
    </w:p>
    <w:p>
      <w:r>
        <w:t>In Abgeltung der Verpflichtung gemäss Ziff. 3.3 der Eheschutzverfügung vom</w:t>
      </w:r>
    </w:p>
    <w:p>
      <w:r>
        <w:rPr>
          <w:b/>
        </w:rPr>
        <w:t>E. 7</w:t>
      </w:r>
    </w:p>
    <w:p>
      <w:r>
        <w:t>Die Parteien übernehmen die Gerichtskosten für das erst- und zweitinstanzliche Verfahren je zur Hälfte.</w:t>
      </w:r>
    </w:p>
    <w:p>
      <w:r>
        <w:rPr>
          <w:b/>
        </w:rPr>
        <w:t>E. 8</w:t>
      </w:r>
    </w:p>
    <w:p>
      <w:r>
        <w:t>Die Parteien verzichten für beide Instanzen gegenseitig auf Prozessentschä- digung." 2. Die zweitinstanzliche Gerichtsgebühr wird festgesetzt auf Fr. 3'000.–. Die Übersetzungskosten betragen Fr. 393.75. 3. Die Kosten für das erstinstanzliche Verfahren werden den Parteien je zur Hälfte auferlegt. 4. Die Kosten für das zweitinstanzliche Verfahren werden den Parteien je zur Hälfte auferlegt und mit dem von der Beklagten geleisteten Kostenvorschuss verrechnet. Der Kläger wird verpflichtet, der Beklagten den auf ihn entfallen- den Kostenanteil von Fr. 1'696.90 zu ersetzen. 5. Es werden für das erst- und zweitinstanzliche Verfahren keine Prozessent- schädigungen zugesprochen. 6. Schriftliche Mitteilung an die Parteien, an die Obergerichtskasse und an das Bezirksgericht Hinwil, je gegen Empfangsschein.</w:t>
      </w:r>
    </w:p>
    <w:p>
      <w:r>
        <w:t>- 15 - Die erstinstanzlichen Akten gehen nach unbenütztem Ablauf der Rechtsmit- telfrist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Fr. 373'280.–. Die Beschwerde an das Bundesgericht hat keine aufschiebende Wirkung. Hinsichtlich des Fristenlaufs gelten die Art. 44 ff. BGG. Zürich, 2. Juli 2012 Obergericht des Kantons Zürich I. Zivilkammer Der Vorsitzende: Die Gerichtsschreiberin: Dr. R. Klopfer lic. iur. E. Iseli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