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LC110007 vom 5. April 2012</w:t>
      </w:r>
    </w:p>
    <w:p>
      <w:r>
        <w:t>ZH Obergericht, 2012-04-05, DE</w:t>
      </w:r>
    </w:p>
    <w:p>
      <w:r>
        <w:rPr>
          <w:b/>
        </w:rPr>
        <w:t xml:space="preserve">Quelle: </w:t>
      </w:r>
      <w:r>
        <w:t>https://mcp.opencaselaw.ch/entscheid/zh_obergericht_LC110007</w:t>
      </w:r>
    </w:p>
    <w:p>
      <w:r>
        <w:t>FR: ZH_OBERGERICHT LC110007 du 5 avril 2012</w:t>
      </w:r>
    </w:p>
    <w:p>
      <w:r>
        <w:t>IT: ZH_OBERGERICHT LC110007 del 5 aprile 2012</w:t>
      </w:r>
    </w:p>
    <w:p>
      <w:pPr>
        <w:pStyle w:val="Heading2"/>
      </w:pPr>
      <w:r>
        <w:t>Erwägungen</w:t>
      </w:r>
    </w:p>
    <w:p>
      <w:r>
        <w:rPr>
          <w:b/>
        </w:rPr>
        <w:t>E. 1</w:t>
      </w:r>
    </w:p>
    <w:p>
      <w:r>
        <w:t>Auf den 1. Januar 2011 ist die neue Schweizerische Zivilprozessordnung in Kraft getreten. Gemäss Art. 404 Abs. 1 ZPO gilt indes für Verfahren, die bei In- krafttreten dieses Gesetzes rechtshängig sind, das bisherige Verfahrensrecht bis zum Abschluss vor der betroffenen Instanz. Für die Rechtsmittel gilt das Recht, das bei der Eröffnung des Entscheides in Kraft ist (Art. 405 Abs. 1 ZPO). Das erstinstanzliche Urteil wurde dem Kläger am 29. Dezember 2010 zugestellt (Urk. 32). Damit sind für das Verfahren vor Obergericht weiterhin die bisherigen Best- immungen der ZPO/ZH und des GVG/ZH sowie die Verfahrensbestimmungen von Art. 135-149 aZGB anzuwenden.</w:t>
      </w:r>
    </w:p>
    <w:p>
      <w:r>
        <w:rPr>
          <w:b/>
        </w:rPr>
        <w:t>E. 2</w:t>
      </w:r>
    </w:p>
    <w:p>
      <w:r>
        <w:t>a) Der Kläger bemängelt im Berufungsverfahren, dass die Vorinstanz nur die Hälfte des Mehrverdienstes der Beklagten an die Kürzung des Unterhaltsbei- trags angerechnet habe. Die entsprechende bundesgerichtliche Rechtsprechung</w:t>
      </w:r>
    </w:p>
    <w:p>
      <w:r>
        <w:t>- 9 - sei unter dem früheren Recht ergangen, als es üblich gewesen sei, bei der Be- rechnung des nachehelichen Unterhalts die Existenzminima der Parteien zu er- mitteln und den verbleibenden Freibetrag zwischen den Parteien hälftig zu teilen. Vorliegend seien die Unterhaltsbeiträge bei der Scheidung so festgesetzt worden, dass die Beklagte ihren gebührenden Unterhalt habe decken können. Wenn der Beklagten im Abänderungsverfahren die Hälfte des zusätzlichen Einkommens als Freibetrag belassen werde, stehe ihr mehr zur Verfügung, als sie zur Deckung des gebührenden Bedarfs benötige (Urk. 42 S. 4 ff.). Das massgebliche monatli- che Nettoeinkommen der Beklagten im Jahre 2010 veranschlagt der Kläger auf Fr. 4'721.– (Urk. 42 S. 8; Urk. 49 S. 7), den gebührenden Bedarf der Beklagten auf Fr. 4'179.– (Urk. 42 S. 8 ff.). Damit sei sie nicht mehr auf nacheheliche Unter- haltsbeiträge angewiesen. Weiter geht der Kläger davon aus, dass die Beklagte inzwischen an keinen Unfallfolgen mehr leide, weshalb die Unterhaltsbeiträge endgültig aufzuheben seien. Man müsste sich auch – so der Kläger – die Frage stellen, ob er eine unfallbedingte Verschlechterung der Einkommenssituation mit seinen Unterhaltsbeiträgen abzudecken hätte, zumal es sich dabei nicht um einen ehebedingten Nachteil handle (Urk. 42 S. 13). b) Die Beklagte macht im Berufungsverfahren geltend, das Obergericht sei bei der Festsetzung des Unterhaltsbeitrags der Auffassung gewesen, der Beklag- ten könne aufgrund der langen Ehedauer, ihres Alters und der Rollenverteilung der Parteien keine Aufstockung ihrer Erwerbstätigkeit auf 100 % zugemutet wer- den. Der Unterhaltsbeitrag sei nicht etwa stufenweise reduziert und aufgehoben worden, wie dies der Kläger beantragt habe. Die Vorinstanz habe daher die ge- setzlichen Grundlagen und die durch die Rechtsprechung entwickelten Regeln hinsichtlich der 50%igen Anrechnung des Mehrverdienstes korrekt wiedergege- ben. Im Scheidungsverfahren habe die erste Instanz den Unterhaltsbeitrag nach der zweistufigen Methode mit einer Überschussbeteiligung berechnet. Anlässlich des obergerichtlichen Verfahrens sei auf eine Überschussbeteiligung verzichtet worden, weil der Beklagten nur 81 % Erwerbstätigkeit zugemutet und ihr freige- stellt worden sei, zu ihren eigenen Gunsten ein höheres Einkommen zu erzielen. Es seien ihr weder ein Zuschlag für den Grundbetrag noch die Transportkosten für den Privatanteil ihres PW noch die Zusatzversicherung oder Haftpflicht- und</w:t>
      </w:r>
    </w:p>
    <w:p>
      <w:r>
        <w:t>- 10 - Hausratversicherung etc. gewährt worden, obschon die Parteien in guten finanzi- ellen Verhältnissen gelebt hätten (Urk. 45 S. 6 f.). Ihr monatliches Einkommen bezifferte die Beklagte für das Jahr 2009 mit Fr. 4'320.35 und für das Jahr 2010 mit Fr. 4'457.50. Das Jahr 2010 sei aber we- gen Unfall und Krankheit ein atypisches Jahr gewesen. Als inskünftig realistisch zu erzielendes Einkommen betrachtete die Beklagte Fr. 4'350.–. Ihren monatli- chen Bedarf errechnete sie auf Fr. 5'050.–. Der Mehrverdienst betrage daher Fr. 428.–, was zu einer Reduktion des Unterhaltsbeitrags um Fr. 214.– auf Fr. 886.– führe. Bezüglich der Sistierung statt einer definitiven Reduktion des Un- terhaltsbeitrags schliesst sich die Beklagte der Vorinstanz an. Dazu führte die Be- klagte aus, sie sei nach wie vor in ärztlicher Behandlung, und es stehe am 24. Mai 2011 eine weitere Operation an (Urk. 45 S. 8 ff.).</w:t>
      </w:r>
    </w:p>
    <w:p>
      <w:r>
        <w:rPr>
          <w:b/>
        </w:rPr>
        <w:t>E. 3</w:t>
      </w:r>
    </w:p>
    <w:p>
      <w:r>
        <w:t>Das erstinstanzliche Kostendispositiv (Dispositiv-Ziffer 2) wird bestätigt.</w:t>
      </w:r>
    </w:p>
    <w:p>
      <w:r>
        <w:rPr>
          <w:b/>
        </w:rPr>
        <w:t>E. 4</w:t>
      </w:r>
    </w:p>
    <w:p>
      <w:r>
        <w:t>Die zweitinstanzliche Gerichtsgebühr wird festgesetzt auf Fr. 6'000.–.</w:t>
      </w:r>
    </w:p>
    <w:p>
      <w:r>
        <w:rPr>
          <w:b/>
        </w:rPr>
        <w:t>E. 5</w:t>
      </w:r>
    </w:p>
    <w:p>
      <w:r>
        <w:t>Die Kosten des erst- und zweitinstanzlichen Verfahrens werden den Partei- en je zur Hälfte auferlegt.</w:t>
      </w:r>
    </w:p>
    <w:p>
      <w:r>
        <w:rPr>
          <w:b/>
        </w:rPr>
        <w:t>E. 6</w:t>
      </w:r>
    </w:p>
    <w:p>
      <w:r>
        <w:t>Es werden für das erst- und zweitinstanzliche Verfahren keine Parteient- schädigungen zugesprochen.</w:t>
      </w:r>
    </w:p>
    <w:p>
      <w:r>
        <w:rPr>
          <w:b/>
        </w:rPr>
        <w:t>E. 7</w:t>
      </w:r>
    </w:p>
    <w:p>
      <w:r>
        <w:t>Schriftliche Mitteilung an die Parteien sowie an das Bezirksgericht Dielsdorf und an die Obergerichtskasse, je gegen Empfangsschein. Die erstinstanzlichen Akten gehen nach unbenütztem Ablauf der Rechtsmit- telfrist an die Vorinstanz zurück.</w:t>
      </w:r>
    </w:p>
    <w:p>
      <w:r>
        <w:rPr>
          <w:b/>
        </w:rPr>
        <w:t>E. 8</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w:t>
      </w:r>
    </w:p>
    <w:p>
      <w:r>
        <w:t>- 20 - Dies ist ein Endentscheid im Sinne von Art. 90 BGG. Es handelt sich um eine vermögensrechtliche Angelegenheit. Der Streitwert beträgt Fr. 137'500.–. Die Beschwerde an das Bundesgericht hat keine aufschiebende Wirkung. Hinsichtlich des Fristenlaufs gelten die Art. 44 ff. BGG. Zürich, 5. April 2012 Obergericht des Kantons Zürich I. Zivilkammer Der Vorsitzende: Die Gerichtsschreiberin: Dr. R. Klopfer lic. iur. C. Heuberger versandt am: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