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LC100087 vom 2. Dezember 2011</w:t>
      </w:r>
    </w:p>
    <w:p>
      <w:r>
        <w:t>ZH Obergericht, 2011-12-02, DE</w:t>
      </w:r>
    </w:p>
    <w:p>
      <w:r>
        <w:rPr>
          <w:b/>
        </w:rPr>
        <w:t xml:space="preserve">Quelle: </w:t>
      </w:r>
      <w:r>
        <w:t>https://mcp.opencaselaw.ch/entscheid/zh_obergericht_LC100087</w:t>
      </w:r>
    </w:p>
    <w:p>
      <w:r>
        <w:t>FR: ZH_OBERGERICHT LC100087 du 2 décembre 2011</w:t>
      </w:r>
    </w:p>
    <w:p>
      <w:r>
        <w:t>IT: ZH_OBERGERICHT LC100087 del 2 dicembre 2011</w:t>
      </w:r>
    </w:p>
    <w:p>
      <w:pPr>
        <w:pStyle w:val="Heading2"/>
      </w:pPr>
      <w:r>
        <w:t>Erwägungen</w:t>
      </w:r>
    </w:p>
    <w:p>
      <w:r>
        <w:rPr>
          <w:b/>
        </w:rPr>
        <w:t>E. 1</w:t>
      </w:r>
    </w:p>
    <w:p>
      <w:r>
        <w:t>Die Parteien haben am tt.mm.1995 in G._____ geheiratet. Der Ehe ist der Sohn C._____, geboren am tt.mm.1998, entsprossen. Die Gesuchstellerin ist Staatsbürgerin von H._____ und lebte bis zur Heirat in H._____ (Urk. 5/9 S. 1). Die Gesuchstellerin hat eine Ausbildung als Coiffeuse und arbeitete bis zur Ge- burt von C._____ auf diesem Beruf (Urk. 5/9 S. 2). Der Gesuchsteller ist schwei- zerischer Staatsangehöriger und schloss eine Lehre als Automechaniker ab. Er arbeitet aber seit 20 Jahren als Bankangestellter (Urk. 5/9 S. 2). C._____ leidet aufgrund einer Meningokokkensepsis an Wachstumsstörungen der unteren Ext- remitäten, was zahlreiche Operationen zur Folge hatte; weitere sind geplant. Nach den Operationen ist C._____ jeweils gehbehindert. Er besucht die Normal- schule.</w:t>
      </w:r>
    </w:p>
    <w:p>
      <w:r>
        <w:rPr>
          <w:b/>
        </w:rPr>
        <w:t>E. 2</w:t>
      </w:r>
    </w:p>
    <w:p>
      <w:r>
        <w:t>Die Gesuchstellerin hat am 28. Juli 2005 ein erstes Eheschutzbegehren am Bezirksgericht Horgen eingereicht, worin sie die Regelung des Getrenntlebens beantragte. In der Folge zog sie ihre Klage zurück, was zur Abschreibung des Verfahrens mit Verfügung vom 22. November 2005 führte (Urk. 4). Am 20. März 2006 machte die Gesuchstellerin ein weiteres Eheschutzver- fahren am Bezirksgericht Horgen rechtshängig (Urk. 5/1). Mit Verfügung vom 17. Mai 2006 wurden die Parteien für unbestimmte Dauer zur Aufhebung des ge- meinsamen Haushaltes berechtigt erklärt, der Sohn C._____ unter die Obhut der Gesuchstellerin gestellt und die weiteren Nebenfolgen des Getrenntlebens gere- gelt (Urk. 5/15).</w:t>
      </w:r>
    </w:p>
    <w:p>
      <w:r>
        <w:t>- 10 - Den Akten des am 11. Januar 2008 von der Gesuchstellerin erneut eingelei- teten Eheschutzverfahrens kann entnommen werden, dass die Parteien nach dem zweiten Eheschutzverfahren das Getrenntleben nicht aufnahmen, sondern weiterhin zusammenlebten (Urk. 6/1 S. 3). Die Parteien trennten sich erst im Spätherbst 2007. Der Eheschutzrichter nahm mit Verfügung vom 3. März 2008 davon Vormerk, dass die Parteien seit dem 18. November 2007 auf unbestimmte Zeit getrennt leben würden, stellte C._____ für die Dauer des Getrenntlebens un- ter die Obhut der Gesuchstellerin und merkte die Vereinbarung über die weiteren Nebenfolgen des Getrenntlebens vor bzw. genehmigte sie (Urk. 6//27).</w:t>
      </w:r>
    </w:p>
    <w:p>
      <w:r>
        <w:rPr>
          <w:b/>
        </w:rPr>
        <w:t>E. 3</w:t>
      </w:r>
    </w:p>
    <w:p>
      <w:r>
        <w:t>Auf den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Obergericht weiterhin die bisherigen Bestimmungen der ZPO/ZH und des GVG/ZH sowie die Verfahrensbestimmungen von Art. 135-149 aZGB anzuwen- den.</w:t>
      </w:r>
    </w:p>
    <w:p>
      <w:r>
        <w:t>- 12 -</w:t>
      </w:r>
    </w:p>
    <w:p>
      <w:r>
        <w:rPr>
          <w:b/>
        </w:rPr>
        <w:t>E. 4</w:t>
      </w:r>
    </w:p>
    <w:p>
      <w:r>
        <w:t>Der Gesuchsteller wird verpflichtet, der Gesuchstellerin die Hälfte der Kos- ten der kieferorthopädischen Behandlung von C._____ zu ersetzen, die nicht durch andere Kostenträger übernommen werden.</w:t>
      </w:r>
    </w:p>
    <w:p>
      <w:r>
        <w:rPr>
          <w:b/>
        </w:rPr>
        <w:t>E. 5</w:t>
      </w:r>
    </w:p>
    <w:p>
      <w:r>
        <w:t>Der Antrag der Gesuchstellerin, der Gesuchsteller sei zu verpflichten, ihr das Bild ihres Vaters über ... auf erstes Verlangen herauszugeben, wird abge- wiesen.</w:t>
      </w:r>
    </w:p>
    <w:p>
      <w:r>
        <w:rPr>
          <w:b/>
        </w:rPr>
        <w:t>E. 6</w:t>
      </w:r>
    </w:p>
    <w:p>
      <w:r>
        <w:t>Die Teilvereinbarung der Parteien vom 10. Juni 2010 über die Scheidungs- folgen wird wie folgt genehmigt: "10. In güterrechtlicher Hinsicht vereinbaren die Parteien, dass jede Partei zu un- beschwertem Eigentum erhält, was sie derzeit besitzt oder auf ihren Namen lautet. ... 13. Mit Erfüllung dieser Vereinbarung sind die Parteien güter- und eherechtlich vollständig auseinandergesetzt."</w:t>
      </w:r>
    </w:p>
    <w:p>
      <w:r>
        <w:t>- 33 -</w:t>
      </w:r>
    </w:p>
    <w:p>
      <w:r>
        <w:rPr>
          <w:b/>
        </w:rPr>
        <w:t>E. 7</w:t>
      </w:r>
    </w:p>
    <w:p>
      <w:r>
        <w:t>Die Kindesvertreterin, Dr. Z._____, wird mit Fr. 1'200.– aus der Gerichtskas- se entschädigt.</w:t>
      </w:r>
    </w:p>
    <w:p>
      <w:r>
        <w:rPr>
          <w:b/>
        </w:rPr>
        <w:t>E. 8</w:t>
      </w:r>
    </w:p>
    <w:p>
      <w:r>
        <w:t>Die zweitinstanzliche Gerichtsgebühr wird festgesetzt auf Fr. 6'000.–.</w:t>
      </w:r>
    </w:p>
    <w:p>
      <w:r>
        <w:rPr>
          <w:b/>
        </w:rPr>
        <w:t>E. 9</w:t>
      </w:r>
    </w:p>
    <w:p>
      <w:r>
        <w:t>Die Kosten für das zweitinstanzliche Verfahren, inklusive Kosten der Kin- desvertretung, werden den Parteien je zur Hälfte auferlegt; der Anteil der Gesuchstellerin wird jedoch zufolge Gewährung der unentgeltlichen Pro- zessführung einstweilen auf die Staatskasse genommen. Die Nachzah- lungspflicht gemäss Art. 123 ZPO bleibt vorbehalten.</w:t>
      </w:r>
    </w:p>
    <w:p>
      <w:r>
        <w:rPr>
          <w:b/>
        </w:rPr>
        <w:t>E. 10</w:t>
      </w:r>
    </w:p>
    <w:p>
      <w:r>
        <w:t>Für das Berufungsverfahren werden keine Parteientschädigungen zuge- sprochen.</w:t>
      </w:r>
    </w:p>
    <w:p>
      <w:r>
        <w:rPr>
          <w:b/>
        </w:rPr>
        <w:t>E. 11</w:t>
      </w:r>
    </w:p>
    <w:p>
      <w:r>
        <w:t>Schriftliche Mitteilung an die Parteien, an das Migrationsamt des Kantons Zürich, an das Bezirksgericht Horgen, an die Obergerichtskasse unter Beila- ge einer Kopie von Urk. 124 sowie im Dispositivauszug Ziff. 1 bis 3 an die Vormundschaftsbehörde von G._____, je gegen Empfangsschein. Die erstinstanzlichen Akten gehen nach unbenütztem Ablauf der Rechtsmit- telfrist an die Vorinstanz zurück.</w:t>
      </w:r>
    </w:p>
    <w:p>
      <w:r>
        <w:rPr>
          <w:b/>
        </w:rPr>
        <w:t>E. 12</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- 34 - Zürich, 2. Dezember 2011 Obergericht des Kantons Zürich I. Zivilkammer Der Präsident: Der Gerichtsschreiber: Oberrichter Dr. R. Klopfer lic. iur. K. Vogel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