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LB250031 vom 20. November 2025</w:t>
      </w:r>
    </w:p>
    <w:p>
      <w:r>
        <w:t>ZH Obergericht, 2025-11-20, DE</w:t>
      </w:r>
    </w:p>
    <w:p>
      <w:r>
        <w:rPr>
          <w:b/>
        </w:rPr>
        <w:t xml:space="preserve">Quelle: </w:t>
      </w:r>
      <w:r>
        <w:t>https://mcp.opencaselaw.ch/entscheid/zh_obergericht_LB250031</w:t>
      </w:r>
    </w:p>
    <w:p>
      <w:r>
        <w:t>FR: ZH_OBERGERICHT LB250031 du 20 novembre 2025</w:t>
      </w:r>
    </w:p>
    <w:p>
      <w:r>
        <w:t>IT: ZH_OBERGERICHT LB250031 del 20 novembre 2025</w:t>
      </w:r>
    </w:p>
    <w:p>
      <w:pPr>
        <w:pStyle w:val="Heading2"/>
      </w:pPr>
      <w:r>
        <w:t>Erwägungen</w:t>
      </w:r>
    </w:p>
    <w:p>
      <w:r>
        <w:rPr>
          <w:b/>
        </w:rPr>
        <w:t>E. 1</w:t>
      </w:r>
    </w:p>
    <w:p>
      <w:r>
        <w:t>Hintergrund des vorliegenden Verfahrens ist ein Baurechtsvertrag vom 28. September 1965 zwischen den Parteien, in dem die Klägerin und Berufungs- klägerin (fortan nur Klägerin), eine Schulgemeinde, der Beklagten und Berufungs- beklagten (fortan nur Beklagte), einer politischen Gemeinde, gestattete, eine sich unter der Turnhalle in einem Schulhaus der Klägerin befindende Sanitätshilfsstelle während 100 Jahren fortbestehen zu lassen (act. 6/3/2).</w:t>
      </w:r>
    </w:p>
    <w:p>
      <w:r>
        <w:rPr>
          <w:b/>
        </w:rPr>
        <w:t>E. 2</w:t>
      </w:r>
    </w:p>
    <w:p>
      <w:r>
        <w:t>Am 8. Februar 2024 fragte die Beklagte die Klägerin an, ob sie diese Sani- tätshilfsstelle zumindest vorübergehend als Asylunterkunft nutzen dürfe (act. 6/3/3). Die Klägerin wies dieses Ersuchen mit Beschluss vom 12. März 2024 ab (act. 6/3/4). Auf einen Rekurs der Beklagten trat der Bezirksrat Winterthur mit Be- schluss vom 21. Juni 2024 nicht ein, da es sich um eine Streitigkeit aus einem pri- vatrechtlichen Vertrag handle, die weder mittels Verfügung entschieden noch Ge- genstand eines Rekurses sein könne, so dass kein zulässiges Anfechtungsobjekt nach § 19 VRG vorliege (act. 5/3/21).</w:t>
      </w:r>
    </w:p>
    <w:p>
      <w:r>
        <w:rPr>
          <w:b/>
        </w:rPr>
        <w:t>E. 3</w:t>
      </w:r>
    </w:p>
    <w:p>
      <w:r>
        <w:t>Weil die Beklagte trotzdem weitere Vorbereitungshandlungen für die ge- plante Umnutzung vorgenommen habe, beantragte die Klägerin und Berufungs- klägerin am 10. Juni 2024 beim Einzelgericht im summarischen Verfahren des Bezirksgerichts Winterthur als vorsorgliche Massnahme die Nutzung der Sanitäts- hilfsstelle unter der Turnhalle im Schulhaus der Klägerin als Unterkunft für Asylsu- chende zu verbieten (act. 6/1). Mit Verfügung vom 12. Juni 2024 erliess das Ein- zelgericht superprovisorisch ein solches Verbot. Nach Einholung einer Stellung- nahme der Beklagten, welche mit Eingabe vom 25. Juni 2024 (act. 6/7) Nichtein- treten, eventualiter Abweisung beantragte, wurde diese Massnahme mit Urteil vom 28. Juni 2024 bestätigt und der Klägerin eine Frist von 60 Tagen für die Ein- reichung einer Klage angesetzt (act. 6/8).</w:t>
      </w:r>
    </w:p>
    <w:p>
      <w:r>
        <w:rPr>
          <w:b/>
        </w:rPr>
        <w:t>E. 4</w:t>
      </w:r>
    </w:p>
    <w:p>
      <w:r>
        <w:t>Mit Klageschrift vom 29. August 2024 stellte die Klägerin beim Bezirksge- richt Winterthur (Vorinstanz) folgendes Rechtsbegehren (act. 5/1 S. 2):</w:t>
      </w:r>
    </w:p>
    <w:p>
      <w:r>
        <w:t>- 3 - 1. Es sei der Beklagten unter Androhung der Bestrafung nach Art. 292 StGB mit Busse bis CHF 10'000 im Widerhandlungsfall zu verbieten, die Sanitätshilfsstelle unter der Turnhalle B._____ auf dem Grundstück Kat.Nr. …, A._____, als Unterkunft für Asyl- suchende zu nutzen. 2. Die Beklagte sei zu verpflichten, der Klägerin die von ihr bezoge- nen Gerichtskosten von CHF 6'000 im Verfahren ET240004 des Bezirksgerichts Winterthur (gemäss Disp.Ziff. 4 und 5 des Urteils vom 28. Juni 2024) zu ersetzen. Ferner sei die Beklagten zu verpflichten, der Klägerin eine vom Gericht festzusetzende Parteientschädigung (zzgl. MWST) für das Verfahren ET240004 des Bezirksgerichts Dielsdorf (Einzelge- richt) zu entrichten. 3. Alles unter Kosten- und Entschädigungsfolgen (zzgl. MWST) zu- lasten der Beklagten.</w:t>
      </w:r>
    </w:p>
    <w:p>
      <w:r>
        <w:rPr>
          <w:b/>
        </w:rPr>
        <w:t>E. 5</w:t>
      </w:r>
    </w:p>
    <w:p>
      <w:r>
        <w:t>Die Beklagte beantwortete die Klage mit Eingabe vom 6. November 2024 und beantragte im Hauptstandpunkt, auf die Klage sei mangels sachlicher Zustän- digkeit nicht einzutreten (act. 5/10). Mit Verfügung vom 28. Januar 2025 wurde der Klägerin Frist angesetzt, um zu diesem Antrag Stellung zu nehmen (act. 5/12), was die Klägerin mit Eingabe vom 4. März 2025 tat (act. 5/14).</w:t>
      </w:r>
    </w:p>
    <w:p>
      <w:r>
        <w:rPr>
          <w:b/>
        </w:rPr>
        <w:t>E. 6</w:t>
      </w:r>
    </w:p>
    <w:p>
      <w:r>
        <w:t>Mit Beschluss vom 29. April 2025 (act. 5/16 = act. 4), zu dem eine Minder- heitsmeinung gemäss § 124 GOG zu Protokoll gegeben wurde (Prot. VI S. 7 ff.), trat die Vorinstanz wegen fehlender sachlicher Zuständigkeit auf die Klage nicht ein und hob das mit Urteil des Einzelgerichts vom 28. Juni 2024 als vorsorgliche Massnahme angeordnete Nutzungsverbot auf.</w:t>
      </w:r>
    </w:p>
    <w:p>
      <w:r>
        <w:rPr>
          <w:b/>
        </w:rPr>
        <w:t>E. 7</w:t>
      </w:r>
    </w:p>
    <w:p>
      <w:r>
        <w:t>Gegen den Beschluss vom 29. April 2025, der ihr am 2. Mai 2025 zugestellt wurde, erhob die Klägerin mit Eingabe vom 2. Juni 2025 rechtzeitig Berufung mit folgenden Anträgen (act. 2 S. 2): 1. Es sei der Beschluss des Bezirksgerichts Winterthur (Kollegialge- richt in Zivilsachen) vom 29. April 2025, Geschäfts-Nr. CG240014, aufzuheben. 2. Die Streitsache sei zur Beurteilung an die Vorinstanz zurückzu- weisen. 3. Unter Kosten- und Entschädigungsfolgen (zzgl. MWST) zu Lasten der Beklagten und Berufungsbeklagten.</w:t>
      </w:r>
    </w:p>
    <w:p>
      <w:r>
        <w:t>- 4 -</w:t>
      </w:r>
    </w:p>
    <w:p>
      <w:r>
        <w:rPr>
          <w:b/>
        </w:rPr>
        <w:t>E. 8</w:t>
      </w:r>
    </w:p>
    <w:p>
      <w:r>
        <w:t>Die Beklagte schloss den Baurechtsvertrag über die Räume unter der Schulanlage der Klägerin, um Räumlichkeiten für die Erfüllung einer öffentlichen Aufgabe - den Betrieb einer Sanitätshilfsstelle - zu erhalten, die sie heute für die Erfüllung einer anderen öffentlichen Aufgabe - die Unterbringung von Asylbewer- bern - verwenden möchte, was die Klägerin nicht zulassen will (act. 12 S. 9 ff.). Für die Klägerin als Schulgemeinde stellt demgegenüber weder der Betrieb einer Sanitätshilfstelle noch die Unterbringung von Asylbewerbern die Erfüllung einer öffentlichen Aufgabe dar.</w:t>
      </w:r>
    </w:p>
    <w:p>
      <w:r>
        <w:t>- 10 - Die Qualifikation ist unabhängig von der Perspektive der Parteien für das ganze Rechtsverhältnis einheitlich vorzunehmen. Bei einem Vertrag ist der Inhalt mass- geblich, d.h. in erster Linie die vertragstypische oder charakteristische Leistung (LGVE 2002 II Nr. 44 E. 3.g). Wenn die Klägerin der Beklagten mit der Einräu- mung einer Dienstbarkeit gestattet, im Eigentum der Klägerin stehende Räumlich- keiten als Sanitätshilfsstelle zu benutzen, stellt die Einräumung dieser Dienstbar- keit die Hauptleistung dar. Bei der Qualifikation dieser Leistungspflicht als öffentlich-rechtlich oder privat- rechtlich nach der Funktionstheorie ist auf die Perspektive des Erbringers der Leistung abzustellen, also hier der Klägerin (vgl. LGVE 2002 II Nr. 44). Für die Klägerin stellt die Überlassung dieser Räume keine Erfüllung einer öffentlichen Aufgabe dar. Was die Beklagte nachher mit diesen Räumen macht und ob sie sie zur Erfüllung einer öffentlichen Aufgabe nutzt, ist in diesem Moment unerheblich. Aufgrund der Leistung der Klägerin ist das Vertragsverhältnis der Parteien nach der Funktionstheorie als privatrechtlich zu qualifizieren, was dazu führt, dass die Zivilgerichte für die Beurteilung ihres Streits zuständig sind. Die Unterscheidung zwischen mittelbarem und unmittelbarem Zweck führt zum gleichen Ergebnis. So ist der Betrieb einer Sanitätsshilfsstelle oder die Unterbrin- gung von Asylbewerbern nicht Gegenstand des Baurechtsvertrags, sondern die Beklagte erhält damit lediglich die räumlichen Mittel für die Erfüllung dieser Aufga- ben. Die Erfüllung dieser Aufgabe der Beklagten ist jedoch nicht Gegenstand des Baurechtsvertrags. Mit der Verpflichtung zur Überlassung dieser Räumlichkeiten übernimmt die Klägerin keine öffentliche Aufgabe von der Beklagten und sie ver- pflichtet sich insbesondere weder zum Betrieb einer Sanitätshilfsstelle noch zur Unterbringung von Asylbewerbern (act. 2 S. 12).</w:t>
      </w:r>
    </w:p>
    <w:p>
      <w:r>
        <w:rPr>
          <w:b/>
        </w:rPr>
        <w:t>E. 9</w:t>
      </w:r>
    </w:p>
    <w:p>
      <w:r>
        <w:t>Die Vorinstanz setzt die Bereitstellung der entsprechenden Räumlichkeiten mit dem Betrieb einer Sanitätshilfsstelle oder der Unterbringung von Asylbewer- bern als eigentlicher öffentlicher Aufgabe gleich und qualifiziert das Verhältnis der Parteien daher als öffentlich-rechtlich, was sie damit begründet, dass diese Räumlichkeiten für die Erfüllung der öffentlichen Aufgabe von zentraler Bedeu- tung seien bzw. dass es sich dabei um ihren Kern handle (act. 4 S. 7 und S. 10).</w:t>
      </w:r>
    </w:p>
    <w:p>
      <w:r>
        <w:t>- 11 - Die grosse Bedeutung, welche die Einräumung des Baurechts für die Beklagte im Hinblick auf die Erfüllung ihrer öffentlichen Aufgaben hat, macht aus dieser ver- traglichen Leistung keine öffentliche Aufgabe der Klägerin. Auch aus Sicht der Be- klagten stellt der Vertrag nicht die Erfüllung einer öffentlichen Aufgabe dar, son- dern bereitet diese lediglich vor. Die Würdigung der Vorinstanz, welche diesen Unterschieden keine Rechnung trägt, stellt eine unzulässige Vereinfachung dar. Es ist auf den konkreten Vertragsinhalt abzustellen und zwischen direkten und in- direkten Zwecken zu unterscheiden: Die Klägerin überlässt der Beklagten Räum- lichkeiten für eine bestimmte Nutzung, was keine öffentliche Aufgabe der Klägerin ist und lediglich indirekt der Erfüllung einer öffentlichen Aufgabe der Beklagten dient und daher nicht als öffentlich-rechtlich zu qualifizieren ist.</w:t>
      </w:r>
    </w:p>
    <w:p>
      <w:r>
        <w:rPr>
          <w:b/>
        </w:rPr>
        <w:t>E. 10</w:t>
      </w:r>
    </w:p>
    <w:p>
      <w:r>
        <w:t>Der Einwand der Beklagten, die Klägerin berücksichtige nicht, dass die Schulanlage, in der sich die Sanitätshilfsstelle befinde, zu ihrem Verwaltungsver- mögen gehöre (act. 12 S. 5), geht fehl, da es auf die Zugehörigkeit zum Verwal- tungsvermögen nicht ankommt. Öffentliche Sachen sind grundsätzlich der privat- rechtlichen Eigentumsordnung unterstellt, soweit dies mit ihrer Zweckbestimmung vereinbar ist und das Gesetz nicht ausdrücklich etwas anderes bestimmt (KASPAR PLÜSS in Kommentar VRG, § 1 N 42). Unter diesen Umständen kann offen blei- ben, ob sich die Räumlichkeiten bei Vertragsschluss im Finanzvermögen der Klä- gerin befanden, weil die Errichtung einer Baurechtsdienstbarkeit eine Veräusse- rung darstellt, die nur aus dem Finanzvermögen möglich ist, wie die Minderheits- meinung der Vorinstanz (Prot. VI S. 9 f.) und die Klägerin (act. 2 S. 17 f.), anmer- ken. Wenn die Beklagte schreibt, Schulanlage und Sanitätshilfsstelle dienten unmittel- bar der Erfüllung öffentlicher Aufgaben (act. 12 S. 7) unterscheidet sie nicht zwi- schen den öffentlichen Aufgaben der Klägerin (Betrieb einer Schule) und der Be- klagten (Betrieb einer Sanitätshilfsstelle bzw. Unterbringung von Asylbewerbern) und stellt keine Verbindung zur vertraglichen Leistung her. Mit dem Baurechtsver- trag stellt die Klägerin der Beklagten Räumlichkeiten zur Verfügung, die sie selber nicht zur Erfüllung ihrer öffentlichen Aufgaben benötigt, damit die Beklagte damit</w:t>
      </w:r>
    </w:p>
    <w:p>
      <w:r>
        <w:t>- 12 - ihre öffentlichen Aufgaben erfüllen kann. Das stellt für keine Partei unmittelbar die Erfüllung einer öffentlichen Aufgabe dar.</w:t>
      </w:r>
    </w:p>
    <w:p>
      <w:r>
        <w:rPr>
          <w:b/>
        </w:rPr>
        <w:t>E. 11</w:t>
      </w:r>
    </w:p>
    <w:p>
      <w:r>
        <w:t>Zusammenfassend ist festzuhalten, dass das Vertragsverhältnis der Par- teien einen vorwiegend privatrechtlichen Charakter hat. Der Streit über die Zuläs- sigkeit der beabsichtigten Nutzungsänderung ist damit als zivilrechtliche Angele- genheit zu qualifizieren. Somit sind die Zivilgerichte für die Beurteilung der Klage zuständig. Die Berufung ist daher gutzuheissen und die Sache ist zur Durchfüh- rung des Verfahrens und zur neuen Entscheidung an die Vorinstanz zurückzuwei- sen. III. Die Entscheidgebühr für das Berufungsverfahren ist auf CHF 4'500.– festzuset- zen. Da das Verfahren an die Vorinstanz zurückgewiesen wird und das Ergebnis somit noch offen ist, ist ihre Verteilung dem Endentscheid der Vorinstanz zu über- lassen (Art. 104 Abs. 4 ZPO). Die Klägerin hat einen entsprechenden Vorschuss geleistet, was vorzumerken ist. Sollte sie kostenpflichtig werden, kann verrechnet werden, andernfalls wird der Vorschuss der Klägerin zurückzuerstatten und der entsprechende Fehlbetrag von der Beklagten nachzufordern sein (Art. 111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