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LB240067 vom 24. Februar 2025</w:t>
      </w:r>
    </w:p>
    <w:p>
      <w:r>
        <w:t>ZH Obergericht, 2025-02-24, DE</w:t>
      </w:r>
    </w:p>
    <w:p>
      <w:r>
        <w:rPr>
          <w:b/>
        </w:rPr>
        <w:t xml:space="preserve">Quelle: </w:t>
      </w:r>
      <w:r>
        <w:t>https://mcp.opencaselaw.ch/entscheid/zh_obergericht_LB240067</w:t>
      </w:r>
    </w:p>
    <w:p>
      <w:r>
        <w:t>FR: ZH_OBERGERICHT LB240067 du 24 février 2025</w:t>
      </w:r>
    </w:p>
    <w:p>
      <w:r>
        <w:t>IT: ZH_OBERGERICHT LB240067 del 24 febbraio 2025</w:t>
      </w:r>
    </w:p>
    <w:p>
      <w:pPr>
        <w:pStyle w:val="Heading2"/>
      </w:pPr>
      <w:r>
        <w:t>Erwägungen</w:t>
      </w:r>
    </w:p>
    <w:p>
      <w:r>
        <w:rPr>
          <w:b/>
        </w:rPr>
        <w:t>E. 1</w:t>
      </w:r>
    </w:p>
    <w:p>
      <w:r>
        <w:t>Der Kläger und Berufungskläger (nachfolgend Kläger) erhob vor Vorinstanz mit Eingabe vom 30. September 2024 eine Klage gegen die Beklagte und Beru- fungsbeklagte (nachfolgend Beklagte), mit welcher er verschiedene Ansprüche aus Streitigkeiten aus Zusatzversicherungen zur sozialen Krankenversicherung sowie privatrechtliche Schadenersatz- und Genugtuungsansprüche geltend mach- te (act. 26/1; Anträge oben abgedruckt). Die Vorinstanz trat auf die Klage nicht ein: Auf die Anträge betreffend vertraglich geschuldeter Krankentaggeldleistungen nicht mangels sachlicher Zuständigkeit, auf die Schadenersatz- und Genugtu- ungsansprüche nicht, da weder ein Schlichtungsverfahren durchlaufen worden war noch die Parteien gemeinsam auf ein solches verzichtet hatten (act. 25 E. 6 ff. S. 4 ff.).</w:t>
      </w:r>
    </w:p>
    <w:p>
      <w:r>
        <w:rPr>
          <w:b/>
        </w:rPr>
        <w:t>E. 2</w:t>
      </w:r>
    </w:p>
    <w:p>
      <w:r>
        <w:t>Der Verlauf des erstinstanzlichen Verfahrens ist im angefochtenen Be- schluss des Bezirksgerichts Winterthur (Vorinstanz) vom 27. November 2024 dar- gestellt (act. 25 S. 2 ff.); darauf kann verwiesen werden. Das Dispositiv ist vorne wiedergegeben.</w:t>
      </w:r>
    </w:p>
    <w:p>
      <w:r>
        <w:rPr>
          <w:b/>
        </w:rPr>
        <w:t>E. 2.1</w:t>
      </w:r>
    </w:p>
    <w:p>
      <w:r>
        <w:t>Was der Kläger in seiner Berufung dagegen vorbringt, vermag nicht durch- zudringen. Vorab bedarf es zuhanden des Klägers wohl einer Klarstellung der Be- griffe: Das Gesetz spricht in Art. 197 ff. ZPO von einem Schlichtungsversuch resp. von einem Schlichtungsverfahren. Im Kanton Zürich ist diese Schlichtungsbehör- de gemäss ZPO der Friedensrichter resp. die Friedensrichterin (§ 53 des Geset- zes über die Gerichts- und Behördenorganisation in Zivil- und Strafsachen [GOG]). Der Kläger spricht in diesem Zusammenhang von "Mediation" (act. 2 S. 2 f.), was zumindest missverständlich ist: Das Friedensrichteramt ist nicht eine freiwillige Mediationsstelle, sondern – von gesetzlichen Ausnahmen abgesehen – ein obligatorischer Bestandteil des zu durchlaufenden Zivilverfahrenswegs. Die Ausnahmen sind in Art. 198 ZPO aufgeführt. Die vorliegende Streitigkeit fällt nicht darunter. Entgegen dem Vorbringen des Klägers in der Berufungsschrift entfällt die Anrufung des Friedensrichteramtes nicht, wenn der Streitwert über Fr. 100'000.– liegt (act. 2 S. 2, S. 6). Vielmehr können gemäss Art. 199 Abs. 1 ZPO bei einer vermögensrechtlichen Streitigkeit von mindestens Fr. 100'000.– "die Parteien gemeinsam auf die Durchführung des Schlichtungsverfahrens ver- zichten". Dass die Beklagte auf die Durchführung des friedensrichterlichen Ver- fahrens verzichtet hätte, macht der Kläger zu Recht nicht geltend. Liegt keiner der gesetzlich vorgesehenen Gründe für eine direkte Klageerhe- bung vor Bezirksgericht vor, so ist zwingend vor der Klageerhebung beim Bezirks- gericht die örtlich zuständige Friedensrichterin resp. der Friedensrichter anzuru- fen. Es kommt, anders als der Kläger annimmt, nicht darauf an, ob man sich vor</w:t>
      </w:r>
    </w:p>
    <w:p>
      <w:r>
        <w:t>- 8 - Friedensrichter voraussichtlich wird einigen können oder nicht (so aber act. 2 S. 2 f.). Auch der Umstand, dass aussergerichtlich resp. vorprozessual bereits Vergleichsvorschläge gescheitert sind, lässt den gesetzlich vorgeschriebenen Kla- geweg unberührt. Auch in solchen Fällen ist zwingend zuerst das Friedensrichter- amt anzurufen, welches sodann – falls sich an der Verhandlung zeigt, dass eine Einigung nicht möglich ist – die Klagebewilligung ausstellt (Art. 209 ZPO). Dort, wo das friedensrichterliche Verfahren vorgeschrieben ist, bildet dessen Durchfüh- rung resp. das Vorliegen einer gültigen Klagebewilligung eine sog. Prozessvor- aussetzung: Liegt eine gültige Klagebewilligung nicht vor, so darf das angerufene Gericht kein Urteil in der Sache fällen. Es muss, wie das die Vorinstanz getan hat, vielmehr auf Nichteintreten entscheiden. Das heisst, das Gericht geht auf die bei ihm anhängig gemachte Klage inhaltlich nicht ein.</w:t>
      </w:r>
    </w:p>
    <w:p>
      <w:r>
        <w:rPr>
          <w:b/>
        </w:rPr>
        <w:t>E. 2.2</w:t>
      </w:r>
    </w:p>
    <w:p>
      <w:r>
        <w:t>Zusammenfassend ist die Vorinstanz damit zu Recht nicht auf die Klage ein- getreten, da es an der erforderlichen Klagebewilligung fehlte. Die beantragte (in- haltliche) "Wiederaufnahme des Verfahrens" durch das Obergericht ist daher ab- zuweisen.</w:t>
      </w:r>
    </w:p>
    <w:p>
      <w:r>
        <w:rPr>
          <w:b/>
        </w:rPr>
        <w:t>E. 3</w:t>
      </w:r>
    </w:p>
    <w:p>
      <w:r>
        <w:t>Die Vorinstanz durfte vorliegend die Klage mangels gültiger Klagebewilli- gung nicht prüfen, und auch das Obergericht kann die Klage aus diesem Grund inhaltlich nicht prüfen. Damit sind die Anträge des Klägers, welche das Beweis- verfahren betreffen (Edition von Beweismitteln, Einvernahme von Zeugen, Würdi- gung der vorgelegten Beweise; Anträge Ziffern 2, 3 und 5), ihrer Grundlage be- raubt. Sie sind abzuweisen.</w:t>
      </w:r>
    </w:p>
    <w:p>
      <w:r>
        <w:rPr>
          <w:b/>
        </w:rPr>
        <w:t>E. 4</w:t>
      </w:r>
    </w:p>
    <w:p>
      <w:r>
        <w:t>Weiter ist festzuhalten, dass die Gerichte für ihre Verfahren Kosten erheben. Die Kosten werden dabei im zivilgerichtlichen Verfahren nach Obsiegen und Un- terliegen verteilt (Art. 106 Abs. 1 Satz 1 ZPO). Bei Nichteintreten – der vorliegen- de Fall – gilt die klagende Partei als unterliegend (Art. 106 Abs. 1 Satz 2 ZPO). Entgegen dem Kläger wären daher die Kosten nicht der Beklagten aufzuerlegen gewesen. Es besteht und bestand keine Pflicht für die Beklagte, Vergleichsange- bote des Klägers anzunehmen – hingegen hätte für den Kläger die Pflicht bestan- den, zuerst den Friedensrichter anzurufen und eine Klagebewilligung erhältlich zu machen, bevor er direkt ans Bezirksgericht gelangte. Einen Grundsatz, wonach</w:t>
      </w:r>
    </w:p>
    <w:p>
      <w:r>
        <w:t>- 9 - die Kosten derjenigen Partei aufzuerlegen wären, welche die Eskalation des Strei- tes (und damit die Anrufung des Gerichts) zu verantworten hat, gibt es entgegen dem Kläger nicht (act. 2 S. 8). Das heisst wiederum nicht, dass das Bezirksgericht sich darüber geäussert hätte, ob der Kläger durch die Beklagte geschädigt wor- den ist oder nicht (so aber offenbar der Kläger, vgl. act. 2 S. 8). Die Kosten wur- den einzig und allein deshalb dem Kläger auferlegt, weil auf seine Klage mangels gültiger Klagebewilligung nicht eingetreten werden konnte. Es liegt darin auch kei- ne Aussage, ob der Kläger mit seiner Klage obsiegt hätte oder nicht (entgegen act. 2 S. 9). Die Kostenauflage an den Kläger ist damit nicht zu bemängeln. Der Antrag des Klägers, die erstinstanzlichen Gerichtskosten seien der Beklagten auf- zuerlegen, ist daher abzuweisen.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439'169.–. Die Beschwerde an das Bundesgericht hat keine aufschiebende Wirkung. Obergericht des Kantons Zürich II. Zivilkammer Die Vorsitzende: Die Gerichtsschreiberin: lic. iur. E. Lichti Aschwanden lic. iur. C. Schmidt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