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LB240044 vom 12. Januar 2026</w:t>
      </w:r>
    </w:p>
    <w:p>
      <w:r>
        <w:t>ZH Obergericht, 2026-01-12, DE</w:t>
      </w:r>
    </w:p>
    <w:p>
      <w:r>
        <w:rPr>
          <w:b/>
        </w:rPr>
        <w:t xml:space="preserve">Quelle: </w:t>
      </w:r>
      <w:r>
        <w:t>https://mcp.opencaselaw.ch/entscheid/zh_obergericht_LB240044</w:t>
      </w:r>
    </w:p>
    <w:p>
      <w:r>
        <w:t>FR: ZH_OBERGERICHT LB240044 du 12 janvier 2026</w:t>
      </w:r>
    </w:p>
    <w:p>
      <w:r>
        <w:t>IT: ZH_OBERGERICHT LB240044 del 12 gennaio 2026</w:t>
      </w:r>
    </w:p>
    <w:p>
      <w:pPr>
        <w:pStyle w:val="Heading2"/>
      </w:pPr>
      <w:r>
        <w:t>Erwägungen</w:t>
      </w:r>
    </w:p>
    <w:p>
      <w:r>
        <w:rPr>
          <w:b/>
        </w:rPr>
        <w:t>E. 1</w:t>
      </w:r>
    </w:p>
    <w:p>
      <w:r>
        <w:t>Am 7. Januar 2021 (Versand am 6. Januar 2021) gingen bei der Vorinstanz die der Klägerin, Berufungsbeklagten und Anschlussberufungsklägerin (nachfolgend: Klägerin) ausgestellte Klagebewilligung des Friedensrichteramts D._____ vom 15. Oktober 2020 (Urk. 1) und deren Klageschrift vom 6. Januar 2021 mit dem Rechtsbegehren lautend auf eine Forderung von Fr. 50‘000.– zzgl.</w:t>
      </w:r>
    </w:p>
    <w:p>
      <w:r>
        <w:rPr>
          <w:b/>
        </w:rPr>
        <w:t>E. 1.1</w:t>
      </w:r>
    </w:p>
    <w:p>
      <w:r>
        <w:t>Nachdem die von der Vorinstanz vorgenommene Kostenfestsetzung für das Schlichtungsverfahren und das erstinstanzliche Verfahren (Urk. 106 S. 29) von keiner Partei angefochten wurde und in Rechtskraft erwuchs (siehe vorstehend</w:t>
      </w:r>
    </w:p>
    <w:p>
      <w:r>
        <w:t>- 34 - Erw. II. 3.), ist an dieser Stelle nur noch über die entsprechende, in der Berufung beanstandete (Urk. 105 S. 40 f.) vorinstanzliche Kostenverlegung zu befinden. 1.2.1. Mit Blick auf die Gerichtskosten kann vorab auf die Erwägungen der Vorin- stanz verwiesen werden, welche in Anwendung von Art. 106 Abs. 1 und 2 ZPO i.V.m. Art. 107 Abs. 1 lit. a ZPO die Klägerin als im Grundsatz obsiegende Partei betrachtete, deren geltend gemachte und lediglich nicht in der gesamten Höhe gutgeheissene Genugtuungsforderung schwer zu beziffern gewesen und letztlich vom gerichtlichen Ermessen abhängig gewesen sei, weshalb sie aus Billigkeits- gründen die gesamten Gerichtskosten der Beklagten auferlegte (Urk. 106 S. 28 f.). Diese Erwägungen erscheinen – ungeachtet des Umstands, dass die Klägerin mit ihrer Genugtuungsforderung deutlich überklagte – ohne weiteres nachvollziehbar und angesichts des weitestgehenden und v.a. den Kernpunkt der Haftung betref- fenden Unterliegens der Beklagten im Schlichtungsverfahren, erstinstanzlichen Verfahren und Berufungverfahren LB230014 sachgerecht, so dass für die Beru- fungsinstanz kein Anlass besteht, korrigierend einzugreifen. 1.2.2. Nicht zu beanstanden sind die vorinstanzlichen Erwägungen sodann auch hinsichtlich der im Sinne von Art. 111 Abs. 1 aZPO i.V.m. Art. 405 Abs. 1 und Art. 407f ZPO e contrario vorzunehmenden, nicht selbstständig bemängelten Li- quidation der Gerichtskosten durch Verrechnung mit den von der Klägerin für das erstinstanzliche Verfahren und das Berufungsverfahren LB230014 geleisteten Kostenvorschüssen in Höhe von je Fr. 5‘550.– und der Anrechnung der von ihr bereits bezahlten Pauschale für das Schlichtungsverfahren in Höhe von Fr. 525.– sowie der Verpflichtung der Beklagten zur Rückerstattung des Gesamtbetrags von Fr. 11'625.– an die Klägerin (Urk. 106 S. 30).</w:t>
      </w:r>
    </w:p>
    <w:p>
      <w:r>
        <w:rPr>
          <w:b/>
        </w:rPr>
        <w:t>E. 1.3</w:t>
      </w:r>
    </w:p>
    <w:p>
      <w:r>
        <w:t>Dementsprechend kann auch mit Blick auf die Parteientschädigung auf die zutreffenden Erwägungen der Vorinstanz verwiesen werden, welche vor dem Hin- tergrund der vorstehenden Begründung der Gerichtskostenverlegung für das erst- instanzliche Verfahren und das Berufungsverfahren LB230014 in korrekter An- wendung der einschlägigen Bestimmungen eine Parteientschädigung von</w:t>
      </w:r>
    </w:p>
    <w:p>
      <w:r>
        <w:t>- 35 - Fr. 15‘078.– (inkl. MWSt) festsetzte und die Beklagte zu deren Bezahlung an die Klägerin verpflichtete (Urk. 106 S. 30).</w:t>
      </w:r>
    </w:p>
    <w:p>
      <w:r>
        <w:rPr>
          <w:b/>
        </w:rPr>
        <w:t>E. 1.4</w:t>
      </w:r>
    </w:p>
    <w:p>
      <w:r>
        <w:t>Im Ergebnis sind in Bestätigung von Dispositivziffer 3 (Kostenverlegung) des vorinstanzlichen Urteils die Gerichtskosten für das Schlichtungsverfahren, das erstinstanzliche Verfahren und das Berufungsverfahren LB230014 somit der Be- klagten aufzuerlegen und ist diese zu verpflichten, der Klägerin die von dieser ge- leisteten und zur Deckung der Entscheidgebühren in Anspruch genommenen bzw. zu nehmenden Kostenvorschüsse im Umfang von Fr. 11‘625.– zu ersetzen. Sodann ist in Bestätigung von Dispositivziffer 4 (Parteientschädigung) des vorin- stanzlichen Urteils die Beklagte zu verpflichten, der Klägerin für das erstinstanzli- che Verfahren und das Berufungsverfahren LB 230014 eine Parteientschädigung von Fr. 15‘078.– (inkl. MWSt) zu bezahlen. 2.1. Im vorliegenden (Anschluss-)Berufungsverfahren beträgt der Streitwert un- verändert Fr. 50‘000.– (Art. 91 Abs. 1 und Art. 94 Abs. 2 analog ZPO). In Anwendung von Art. 95 Abs. 2 lit. b ZPO sowie § 12 Abs. 1 und 2 i.V.m. § 4 Abs. 1 GebV OG ist die zweitinstanzliche Entscheidgebühr somit auf Fr. 5‘550.– festzusetzen. 2.2.1. Die Beklagte unterliegt im vorliegenden Berufungsverfahren hinsichtlich der von ihr schon im Grundsatz in Abrede gestellten Haftung abermals, ebenso hin- sichtlich einer Reduktion der von der Vorinstanz festgesetzten Genugtuungsver- pflichtung. Demgegenüber unterliegt die Klägerin im Anschlussberufungsverfahren mit ihrer Forderung auf Erhöhung bzw. Verdoppelung der ihr von der Vorinstanz zugespro- chenen Basisgenugtuung gänzlich. Dabei ist festzustellen, dass der Klägerin im Zuge des angefochtenen Urteils, wo bereits die Vorinstanz auf ihre deutliche Überklage hingewiesen, aus Billigkeitsgründen an diesen Umstand aber noch keine für sie nachteiligen Prozessfolgen geknüpft hatte, das Risiko einer neuerli- chen deutlichen Überklage offenkundig eingehen wollte, andernfalls sie im Rah- men ihrer Anschlussberufung nicht an ihrer ursprünglichen Genugtuungsforde-</w:t>
      </w:r>
    </w:p>
    <w:p>
      <w:r>
        <w:t>- 36 - rung festgehalten hätte. Entsprechend wäre es unbillig, vorliegend abermals Art. 107 Abs. 1 lit. a ZPO zu Gunsten der Klägerin zur Anwendung zu bringen. Mit Blick auf Art. 106 Abs. 1 und 2 ZPO erscheint es somit sachgerecht, die Par- teien im vorliegenden (Anschluss-)Berufungsverfahren gleichermassen als obsie- gend bzw. unterliegend zu betrachten und ihnen die Gerichtskosten im Sinne von Art. 95 Abs. 2 ZPO folglich zu gleichen Teilen aufzuerlegen, d.h. im Umfang von je Fr. 2'775.–. 2.2.2. In Anwendung von Art. 111 Abs. 1 aZPO i.V.m. Art. 405 Abs. 1 und Art. 407f ZPO e contrario ist die zweitinstanzliche Entscheidgebühr mit dem von der Beklagten geleisteten Kostenvorschuss in Höhe von Fr. 3‘750.– zu verrech- nen und die Klägerin zu verpflichten, der Beklagten den beanspruchten Kosten- vorschuss im Umfang von Fr. 975.– zu ersetzen. 2.3. Als Folge der hälftigen Kostenverlegung an die Klägerin und die Beklagte rechtfertigt es sich, die von den Parteien im Umfang ihres jeweiligen Unterliegens geschuldeten Prozessentschädigungen an die Gegenpartei im Sinne von Art. 95 Abs. 3 lit. a und b ZPO sowie § 13 Abs. 1 i.V.m. § 2 Abs. 1, § 4 Abs. 1 und § 11 Abs. 1 und 2 AnwGebV OG in casu wettzuschlagen. Es wird beschlossen: 1. Es wird festgestellt, dass Dispositivziffer 2 des Urteils des Bezirksgerichts Horgen vom 22. August 2024 bezüglich der Kostenfestsetzung für das Schlichtungsverfahren und das erstinstanzliche Verfahren in Rechtskraft er- wachsen ist. 2. Auf die Anschlussberufung wird nicht eingetreten, soweit sie sich gegen Dis- positivziffer 1 des vorinstanzlichen Beschlusses (Nichteintreten auf das klä- gerische Rechtsbegehren Ziffer 2 betreffend Vormerknahme der Teilklage) richtet. 3. Schriftliche Mitteilung und Rechtsmittelbelehrung mit nachfolgendem Urteil.</w:t>
      </w:r>
    </w:p>
    <w:p>
      <w:r>
        <w:t>- 37 - Es wird erkannt: 1. Die Berufung der Beklagten wird abgewiesen. 2. Die Anschlussberufung der Klägerin wird abgewiesen. 3. In Bestätigung von Dispositivziffer 1 (Genugtuungsverpflichtung) des Urteils des Bezirksgerichts Horgen vom 22. August 2024 wird die Beklagte ver- pflichtet, der Klägerin Fr. 27’500.– zuzüglich Zins zu 5 % seit dem 3. Februar 2019 zu bezahlen. Im Mehrbetrag wird die Klage abgewiesen. 4. In Bestätigung von Dispositivziffer 3 (Kostenverlegung) des Urteils des Be- zirksgerichts Horgen vom 22. August 2024 werden die Gerichtskosten für das Schlichtungsverfahren, das erstinstanzliche Verfahren und das Beru- fungsverfahren LB230014 der Beklagten auferlegt und wird diese verpflich- tet, der Klägerin die von dieser geleisteten und zur Deckung der Entscheid- gebühren in Anspruch genommenen bzw. zu nehmenden Kostenvorschüsse im Umfang von Fr. 11‘625.– zu ersetzen. 5. In Bestätigung von Dispositivziffer 4 (Parteientschädigung) des Urteils des Bezirksgerichts Horgen vom 22. August 2024 wird die Beklagte verpflichtet, der Klägerin für das erstinstanzliche Verfahren und das Berufungsverfahren LB230014 eine Parteientschädigung von Fr. 15‘078.– (inkl. MWSt) zu be- zahlen.</w:t>
      </w:r>
    </w:p>
    <w:p>
      <w:r>
        <w:rPr>
          <w:b/>
        </w:rPr>
        <w:t>E. 5</w:t>
      </w:r>
    </w:p>
    <w:p>
      <w:r>
        <w:t>Zu den Grundsätzen der Behauptungs-, Bestreitungs- und Substantiierungslast und den sich daraus ergebenden Anforderungen an die Rechtsschriften der Parteien kann vollumfänglich auf die zutreffenden Erwägungen der Vorinstanz verwiesen werden, welche im vorliegenden Berufungsverfahren gleichermassen Geltung beanspruchen (Urk. 106 S. 6 ff.).</w:t>
      </w:r>
    </w:p>
    <w:p>
      <w:r>
        <w:rPr>
          <w:b/>
        </w:rPr>
        <w:t>E. 5.1</w:t>
      </w:r>
    </w:p>
    <w:p>
      <w:r>
        <w:t>Die Vorinstanz trat auf das klägerische Rechtsbegehren Ziffer 2 betreffend Vormerknahme der Teilklage nicht ein (Urk. 106 S. 31). Zur Begründung führte sie unter Hinweis auf die bundesgerichtliche Rechtsprechung aus, dass an der Vor- merknahme eines Nachklagevorbehalts kein Rechtsschutzinteresse bestehe (Urk. 106 S. 27 f.).</w:t>
      </w:r>
    </w:p>
    <w:p>
      <w:r>
        <w:rPr>
          <w:b/>
        </w:rPr>
        <w:t>E. 5.2</w:t>
      </w:r>
    </w:p>
    <w:p>
      <w:r>
        <w:t>Die Klägerin erblickt darin eine Verletzung von Art. 59 Abs. 2 lit. a ZPO und begründet, worin das Rechtsschutzinteresse ihrer Meinung nach bestehe (Urk. 112 S. 20). Dabei scheint sie zu übersehen, dass das Bundesgericht ein Rechtsschutzinteresse nicht nur an der Vormerknahme eines Nachklagevorbe- halts selbst, sondern auch an der rechtsmittelweisen Anfechtung einer verweiger- ten Vormerknahme ausdrücklich verneint (BGer 4A_113/2017 vom 6. September 2017 E. 1.2; BGer 4A_427/2017 vom 22. Januar 2018 E. 1.2; ferner auch BGer 4A_401/2011 vom 18. Januar 2012 E. 4; BGer 4A_495/2016 vom 5. Januar 2017 E. 3.2 a.E.). Sie führt auch keine Gründe an, welche ein Abweichen von der höchstrichterlichen Praxis, auf welche sie mit keinem Wort eingeht, nahelegen würden. Bezüglich des Begehrens um Vormerknahme der Teilklage ist auf die An- schlussberufung daher nicht einzutreten. IV. Kosten- und Entschädigungsfolgen</w:t>
      </w:r>
    </w:p>
    <w:p>
      <w:r>
        <w:rPr>
          <w:b/>
        </w:rPr>
        <w:t>E. 6</w:t>
      </w:r>
    </w:p>
    <w:p>
      <w:r>
        <w:t>Die Entscheidgebühr für das vorliegende Berufungsverfahren wird auf Fr. 5‘550.– festgesetzt.</w:t>
      </w:r>
    </w:p>
    <w:p>
      <w:r>
        <w:rPr>
          <w:b/>
        </w:rPr>
        <w:t>E. 7</w:t>
      </w:r>
    </w:p>
    <w:p>
      <w:r>
        <w:t>Die Gerichtskosten für das vorliegende Berufungsverfahren werden je zur Hälfte, d.h. im Umfang von je Fr. 2'775.–, der Klägerin und der Beklagten auferlegt. Die Entscheidgebühr für das vorliegende Berufungsverfahren wird mit dem von der Beklagten geleisteten Kostenvorschuss in Höhe von Fr. 3'750.– ver- rechnet. Im Fehlbetrag von Fr. 1'800.– wird sie von der Klägerin nachgefor- dert.</w:t>
      </w:r>
    </w:p>
    <w:p>
      <w:r>
        <w:t>- 38 - Die Klägerin wird verpflichtet, der Beklagten den beanspruchten Kostenvor- schuss im Umfang von Fr. 975.– zu ersetzen.</w:t>
      </w:r>
    </w:p>
    <w:p>
      <w:r>
        <w:rPr>
          <w:b/>
        </w:rPr>
        <w:t>E. 8</w:t>
      </w:r>
    </w:p>
    <w:p>
      <w:r>
        <w:t>Die von der Klägerin und der Beklagten gegenseitig geschuldeten Parteient- schädigungen für das vorliegende Berufungsverfahren werden wettgeschla- gen.</w:t>
      </w:r>
    </w:p>
    <w:p>
      <w:r>
        <w:rPr>
          <w:b/>
        </w:rPr>
        <w:t>E. 9</w:t>
      </w:r>
    </w:p>
    <w:p>
      <w:r>
        <w:t>Schriftliche Mitteilung an die Parteien, an die Obergerichtskasse sowie an die Vorinstanz,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 Die Be- schwerde an das Bundesgericht hat keine aufschiebende Wirkung. Hinsichtlich des Fristenlaufs gelten die Art. 44 ff. BGG. Zürich, 12. Januar 2026 Obergericht des Kantons Zürich I. Zivilkammer Der Vorsitzende: Der Gerichtsschreiber: lic. iur. A. Huizinga Dr. M. Nietlispach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