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LB240039 vom 1. Oktober 2024</w:t>
      </w:r>
    </w:p>
    <w:p>
      <w:r>
        <w:t>ZH Obergericht, 2024-10-01, DE</w:t>
      </w:r>
    </w:p>
    <w:p>
      <w:r>
        <w:rPr>
          <w:b/>
        </w:rPr>
        <w:t xml:space="preserve">Quelle: </w:t>
      </w:r>
      <w:r>
        <w:t>https://mcp.opencaselaw.ch/entscheid/zh_obergericht_LB240039</w:t>
      </w:r>
    </w:p>
    <w:p>
      <w:r>
        <w:t>FR: ZH_OBERGERICHT LB240039 du 1 octobre 2024</w:t>
      </w:r>
    </w:p>
    <w:p>
      <w:r>
        <w:t>IT: ZH_OBERGERICHT LB240039 del 1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Das Bezirksgericht Zürich (Vorinstanz) verpflichtete mit Urteil vom 28. Mai 2024 die Beklagte, der Klägerin (Abtretungsgläubigerin im Konkurs einer Drittgesellschaft) CHF 6'341.35 und EUR 25'617.-- zu bezahlen und hob im Um- fang von CHF 5'406.85 und von CHF 27'827.40 (entsprechend EUR 25'617.--) den Rechtsvorschlag in der Betreibung Nr. … des Betreibungsamts Zürich 1 (Zahlungs- befehl vom 10. September 2021) auf; die Prozesskosten wurden zulasten der Be- klagten geregelt (Urk. 81 S. 30 f.). b) Hiergegen erhob die Beklagte am 16. August 2024 fristgerecht Berufung und stellte die Berufungsanträge (Urk. 80 S. 2): "1. Das Urteil des Bezirksgerichts Zürich vom 28. Mai 2024 sei aufzuheben und die Klage abzuweisen;</w:t>
      </w:r>
    </w:p>
    <w:p>
      <w:r>
        <w:rPr>
          <w:b/>
        </w:rPr>
        <w:t>E. 2</w:t>
      </w:r>
    </w:p>
    <w:p>
      <w:r>
        <w:t>Eventualiter sei das Urteil des Bezirksgerichts Zürich vom 28. Mai 2024 aufzuheben und die Sache zur Neubeurteilung im Sinne der Erwägungen an die Vorinstanz zurückzuweisen;</w:t>
      </w:r>
    </w:p>
    <w:p>
      <w:r>
        <w:rPr>
          <w:b/>
        </w:rPr>
        <w:t>E. 3</w:t>
      </w:r>
    </w:p>
    <w:p>
      <w:r>
        <w:t>Nach dem Gesagten hat die Beklagte den ihr auferlegten Gerichtskos- tenvorschuss auch innert ihr angesetzter, am 25. September 2024 abgelaufener Nachfrist nicht geleistet. Demgemäss ist auf ihre Berufung nicht einzutreten (Art. 101 Abs. 3, Art. 59 Abs. 1 i.V.m. Abs. 2 lit. f ZPO).</w:t>
      </w:r>
    </w:p>
    <w:p>
      <w:r>
        <w:rPr>
          <w:b/>
        </w:rPr>
        <w:t>E. 4</w:t>
      </w:r>
    </w:p>
    <w:p>
      <w:r>
        <w:t>a) Für das Berufungsverfahren beträgt der Streitwert Fr. 31'015.64 (Fr. 6'341.35 und Fr. 24'674.29 [Urk. 81 S. 4]). Die zweitinstanzliche Entscheidge- bühr ist in Anwendung von § 4 Abs. 1 und 2, § 10 Abs. 1 und § 12 GebV OG auf Fr. 1'000.-- festzusetzen. b) Die Gerichtskosten des Berufungsverfahrens sind ausgangsgemäss der Beklagten aufzuerlegen (Art. 106 Abs. 1 ZPO).</w:t>
      </w:r>
    </w:p>
    <w:p>
      <w:r>
        <w:t>- 4 - c) Für das Berufungsverfahren sind keine Parteientschädigungen zuzu- sprechen, der Beklagten zufolge ihres Unterliegens, der Klägerin mangels relevan- ter Aufwendungen (Art. 106 Abs. 1, Art. 95 Abs. 3 ZPO).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