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LB240006 vom 20. November 2024</w:t>
      </w:r>
    </w:p>
    <w:p>
      <w:r>
        <w:t>ZH Obergericht, 2024-11-20, DE</w:t>
      </w:r>
    </w:p>
    <w:p>
      <w:r>
        <w:rPr>
          <w:b/>
        </w:rPr>
        <w:t xml:space="preserve">Quelle: </w:t>
      </w:r>
      <w:r>
        <w:t>https://mcp.opencaselaw.ch/entscheid/zh_obergericht_LB240006</w:t>
      </w:r>
    </w:p>
    <w:p>
      <w:r>
        <w:t>FR: ZH_OBERGERICHT LB240006 du 20 novembre 2024</w:t>
      </w:r>
    </w:p>
    <w:p>
      <w:r>
        <w:t>IT: ZH_OBERGERICHT LB240006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und Urteil des Bezirksgerichts Bülach, II. Abteilung, vom</w:t>
      </w:r>
    </w:p>
    <w:p>
      <w:r>
        <w:rPr>
          <w:b/>
        </w:rPr>
        <w:t>E. 5</w:t>
      </w:r>
    </w:p>
    <w:p>
      <w:r>
        <w:t>Für das Berufungsverfahren sind keine Parteientschädigungen zuzuspre- chen, dem Kläger zufolge seines Unterliegens, der Beklagten mangels Umtrieben, die zu entschädigen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