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LB240002 vom 21. Juni 2024</w:t>
      </w:r>
    </w:p>
    <w:p>
      <w:r>
        <w:t>ZH Obergericht, 2024-06-21, DE</w:t>
      </w:r>
    </w:p>
    <w:p>
      <w:r>
        <w:rPr>
          <w:b/>
        </w:rPr>
        <w:t xml:space="preserve">Quelle: </w:t>
      </w:r>
      <w:r>
        <w:t>https://mcp.opencaselaw.ch/entscheid/zh_obergericht_LB240002</w:t>
      </w:r>
    </w:p>
    <w:p>
      <w:r>
        <w:t>FR: ZH_OBERGERICHT LB240002 du 21 juin 2024</w:t>
      </w:r>
    </w:p>
    <w:p>
      <w:r>
        <w:t>IT: ZH_OBERGERICHT LB240002 del 21 giugno 2024</w:t>
      </w:r>
    </w:p>
    <w:p>
      <w:pPr>
        <w:pStyle w:val="Heading2"/>
      </w:pPr>
      <w:r>
        <w:t>Erwägungen</w:t>
      </w:r>
    </w:p>
    <w:p>
      <w:r>
        <w:rPr>
          <w:b/>
        </w:rPr>
        <w:t>E. 1</w:t>
      </w:r>
    </w:p>
    <w:p>
      <w:r>
        <w:t>Mit Eingabe vom 7. Dezember 2017 erhob die Klägerin, Widerbeklagte, Be- rufungsbeklagte und Anschlussberufungsklägerin (fortan: Berufungsbeklagte) Klage beim Bezirksgericht Zürich (Vorinstanz) gegen die Beklagte 1, Widerkläge- rin, Berufungsklägerin und Anschlussberufungsbeklagte (fortan: Berufungskläge- rin) sowie gegen die C._____ AG (Beklagte 2). Nach Durchführung des Verfah- rens (dazu act. 144 S. 4 ff.) ergingen am 18. Dezember 2023 der Beschluss und das Urteil der Vorinstanz, wie sie eingangs wiedergegeben werden (act. 135 = act. 143/1 = act. 144 [Aktenexemplar]).</w:t>
      </w:r>
    </w:p>
    <w:p>
      <w:r>
        <w:rPr>
          <w:b/>
        </w:rPr>
        <w:t>E. 2</w:t>
      </w:r>
    </w:p>
    <w:p>
      <w:r>
        <w:t>Die zweitinstanzliche Entscheidgebühr wird auf Fr. 6'000.– festgesetzt.</w:t>
      </w:r>
    </w:p>
    <w:p>
      <w:r>
        <w:rPr>
          <w:b/>
        </w:rPr>
        <w:t>E. 2.1</w:t>
      </w:r>
    </w:p>
    <w:p>
      <w:r>
        <w:t>Mit Eingabe vom 30. Januar 2024 erhob die Berufungsklägerin Berufung ge- gen das Urteil der Vorinstanz vom 18. Dezember 2023 (act. 142). Mit Verfügung vom 2. Februar 2024 wurde ihr Frist zur Leistung eines Kostenvorschusses ange- setzt (act. 145). Der Kostenvorschuss ging am 8. Februar 2024 ein (act. 147). Mit Verfügung vom 18. März 2024 wurde der Berufungsbeklagten Frist zur Erstattung der Berufungsantwort angesetzt (act. 148). Die Berufungsbeklagte beantwortete die Berufung mit Eingabe vom 23. April 2024 und erhob gleichzeitig Anschlussbe- rufung (act. 150). Nach Einholung eines Kostenvorschusses der Berufungsbe- klagten (act. 151 und 152) wurde der Berufungsklägerin mit Verfügung vom 13. Mai 2024 Frist angesetzt, um die Anschlussberufung zu beantworten (act. 154).</w:t>
      </w:r>
    </w:p>
    <w:p>
      <w:r>
        <w:t>- 8 -</w:t>
      </w:r>
    </w:p>
    <w:p>
      <w:r>
        <w:rPr>
          <w:b/>
        </w:rPr>
        <w:t>E. 2.2</w:t>
      </w:r>
    </w:p>
    <w:p>
      <w:r>
        <w:t>Mit Schreiben vom 12. Juni 2024, beim Obergericht eingegangen am 13. Juni 2024, zog die Berufungsklägerin die Berufung unter Hinweis auf eine aussergerichtliche Einigung zurück (act. 156 und 157). Mit dem Rückzug der Be- rufung fällt auch die Anschlussberufung dahin (Art. 313 Abs. 2 Bst. c ZPO). Das Verfahren ist entsprechend abzuschreiben.</w:t>
      </w:r>
    </w:p>
    <w:p>
      <w:r>
        <w:rPr>
          <w:b/>
        </w:rPr>
        <w:t>E. 2.3</w:t>
      </w:r>
    </w:p>
    <w:p>
      <w:r>
        <w:t>Mit dem Rückzug der Berufung wird im Weiteren die erstinstanzliche Kos- tenregelung rechtskräftig. Die Gerichtskosten des Berufungsverfahrens sind ge- mäss der von den Parteien getroffenen Vereinbarung der Berufungsklägerin auf- zuerlegen. Vereinbarungsgemäss trägt sodann jede Partei ihre Anwaltskosten im Zusammenhang mit der Berufung und Anschlussberufung selbst (act. 157 Zif- fer 2).</w:t>
      </w:r>
    </w:p>
    <w:p>
      <w:r>
        <w:rPr>
          <w:b/>
        </w:rPr>
        <w:t>E. 2.4</w:t>
      </w:r>
    </w:p>
    <w:p>
      <w:r>
        <w:t>Die zweitinstanzliche Entscheidgebühr ist – ausgehend von einem Streitwert der Berufung und Anschlussberufung von insgesamt Fr. 171'723.60 (vgl. act. 150 Rz. 137) und angesichts der Verfahrenserledigung ohne Anspruchsprüfung – auf Fr. 6'000.– festzusetzen (§ 4 Abs. 1, § 10 Abs. 1, § 12 Abs. 1 und 2 GebV OG) und vom von der Berufungsklägerin geleisteten Kostenvorschuss zu beziehen.</w:t>
      </w:r>
    </w:p>
    <w:p>
      <w:r>
        <w:t>- 9 - Es wird beschlossen: 1. Das Verfahren wird abgeschrieben.</w:t>
      </w:r>
    </w:p>
    <w:p>
      <w:r>
        <w:rPr>
          <w:b/>
        </w:rPr>
        <w:t>E. 3</w:t>
      </w:r>
    </w:p>
    <w:p>
      <w:r>
        <w:t>Die Kosten werden der Berufungsklägerin auferlegt und aus dem von ihr ge- leisteten Vorschuss bezogen; der Überschuss wird der Berufungsklägerin zurückerstattet, unter Vorbehalt eines allfälligen Verrechnungsanspruchs.</w:t>
      </w:r>
    </w:p>
    <w:p>
      <w:r>
        <w:rPr>
          <w:b/>
        </w:rPr>
        <w:t>E. 4</w:t>
      </w:r>
    </w:p>
    <w:p>
      <w:r>
        <w:t>Der von der Berufungsbeklagten geleistete Vorschuss wird dieser zurücker- stattet, unter Vorbehalt eines allfälligen Verrechnungsanspruchs.</w:t>
      </w:r>
    </w:p>
    <w:p>
      <w:r>
        <w:rPr>
          <w:b/>
        </w:rPr>
        <w:t>E. 5</w:t>
      </w:r>
    </w:p>
    <w:p>
      <w:r>
        <w:t>Es werden keine Parteientschädigungen zugesprochen.</w:t>
      </w:r>
    </w:p>
    <w:p>
      <w:r>
        <w:rPr>
          <w:b/>
        </w:rPr>
        <w:t>E. 6</w:t>
      </w:r>
    </w:p>
    <w:p>
      <w:r>
        <w:t>Schriftliche Mitteilung an die Parteien sowie – unter Rücksendung der erstin- stanzlichen Akten – an das Bezirksgericht Zürich, je gegen Empfangsschein.</w:t>
      </w:r>
    </w:p>
    <w:p>
      <w:r>
        <w:rPr>
          <w:b/>
        </w:rPr>
        <w:t>E. 7</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171'723.60. Die Beschwerde an das Bundesgericht hat keine aufschiebende Wirkung. Die Anfechtung einer Parteierklärung (Vergleich, Anerkennung oder Rückzug des Begehrens) hat nicht mit Beschwerde an das Bundesgericht, sondern mit Revision beim Obergericht zu erfolgen (Art. 328 ff. ZPO).</w:t>
      </w:r>
    </w:p>
    <w:p>
      <w:r>
        <w:t>- 10 - Obergericht des Kantons Zürich II. Zivilkammer Die Gerichtsschreiberin: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